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7"/>
        <w:jc w:val="center"/>
        <w:rPr>
          <w:rFonts w:ascii="仿宋_GB2312" w:hAnsi="Arial" w:eastAsia="仿宋_GB2312" w:cs="Arial"/>
          <w:color w:val="666666"/>
          <w:kern w:val="0"/>
          <w:sz w:val="28"/>
          <w:szCs w:val="28"/>
        </w:rPr>
      </w:pP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中国体育科学学会团体标准</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w:t>
      </w:r>
      <w:bookmarkStart w:id="0" w:name="OLE_LINK15"/>
      <w:r>
        <w:rPr>
          <w:rFonts w:hint="eastAsia" w:ascii="宋体" w:hAnsi="宋体" w:eastAsia="宋体" w:cs="宋体"/>
          <w:b/>
          <w:kern w:val="0"/>
          <w:sz w:val="36"/>
          <w:szCs w:val="36"/>
        </w:rPr>
        <w:t>不同运动方式量效关系对照</w:t>
      </w:r>
      <w:bookmarkEnd w:id="0"/>
      <w:r>
        <w:rPr>
          <w:rFonts w:hint="eastAsia" w:ascii="宋体" w:hAnsi="宋体" w:eastAsia="宋体" w:cs="宋体"/>
          <w:b/>
          <w:kern w:val="0"/>
          <w:sz w:val="36"/>
          <w:szCs w:val="36"/>
        </w:rPr>
        <w:t>指南》</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编制说明</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工作简况</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任务来源</w:t>
      </w:r>
    </w:p>
    <w:p>
      <w:pPr>
        <w:widowControl/>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本标准由北京体育大学提出，由中国体育科学学会牵头组织编制《不同运动方式量效关系对照指南》，由北京体育大学、北京大学参与编制工作。</w:t>
      </w:r>
    </w:p>
    <w:p>
      <w:pPr>
        <w:widowControl/>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《不同运动方式的量</w:t>
      </w:r>
      <w:bookmarkStart w:id="2" w:name="_GoBack"/>
      <w:bookmarkEnd w:id="2"/>
      <w:r>
        <w:rPr>
          <w:rFonts w:hint="eastAsia" w:ascii="宋体" w:hAnsi="宋体" w:eastAsia="宋体" w:cs="宋体"/>
          <w:sz w:val="28"/>
          <w:szCs w:val="28"/>
          <w:shd w:val="clear" w:color="auto" w:fill="FFFFFF"/>
        </w:rPr>
        <w:t>效关系对照表》在中国体育科学学会2022年第一批团体标准制定计划中列入学会团体标准制定计划，项目编号为</w:t>
      </w:r>
      <w:r>
        <w:rPr>
          <w:rFonts w:hint="eastAsia" w:ascii="宋体" w:hAnsi="宋体" w:eastAsia="宋体" w:cs="宋体"/>
          <w:i w:val="0"/>
          <w:iCs w:val="0"/>
          <w:color w:val="000000"/>
          <w:kern w:val="0"/>
          <w:sz w:val="32"/>
          <w:szCs w:val="32"/>
          <w:u w:val="none"/>
          <w:lang w:val="en-US" w:eastAsia="zh-CN" w:bidi="ar"/>
        </w:rPr>
        <w:t>CSSS-2022-006</w:t>
      </w:r>
      <w:r>
        <w:rPr>
          <w:rFonts w:hint="eastAsia" w:ascii="宋体" w:hAnsi="宋体" w:eastAsia="宋体" w:cs="宋体"/>
          <w:sz w:val="28"/>
          <w:szCs w:val="28"/>
          <w:shd w:val="clear" w:color="auto" w:fill="FFFFFF"/>
        </w:rPr>
        <w:t>。</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起草人员及其所在单位</w:t>
      </w:r>
    </w:p>
    <w:p>
      <w:pPr>
        <w:pStyle w:val="5"/>
        <w:widowControl/>
        <w:shd w:val="clear" w:color="auto" w:fill="FFFFFF"/>
        <w:spacing w:beforeAutospacing="0" w:afterAutospacing="0"/>
        <w:ind w:left="42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《规程》的主要参编单位为：北京体育大学、北京大学。</w:t>
      </w:r>
    </w:p>
    <w:p>
      <w:pPr>
        <w:pStyle w:val="5"/>
        <w:widowControl/>
        <w:shd w:val="clear" w:color="auto" w:fill="FFFFFF"/>
        <w:spacing w:beforeAutospacing="0" w:afterAutospacing="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工作组成员为：陆一帆（单位：北京体育大学）、陈功（北京大学）闫会萍（单位：北京体育大学）、李嘉豪（单位：北京体育大学）、李佳锦（单位：北京体育大学）、张钊（单位：北京体育大学）、徐承汝（单位：北京体育大学）、武晓雪（单位：北京体育大学）。</w:t>
      </w:r>
    </w:p>
    <w:p>
      <w:pPr>
        <w:pStyle w:val="5"/>
        <w:widowControl/>
        <w:shd w:val="clear" w:color="auto" w:fill="FFFFFF"/>
        <w:spacing w:beforeAutospacing="0" w:afterAutospacing="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工作任务分配如下：陆一帆和陈功制定了不同运动方式量效关系对照指南》的基本思路、技术路线和文本大纲，并负责文本的修改；闫会萍、李嘉豪和李佳锦负责《不同运动方式量效关系对照指南》和《不同运动方式量效关系对照指南编制说明》文本的编写和修改；张钊、徐承汝和武晓雪负责整理不同运动方式量效关系等相关科研成果；李嘉豪和徐承汝负责整理专家的评审意见，并根据专家的意见对文本的进行修改。</w:t>
      </w:r>
    </w:p>
    <w:p>
      <w:pPr>
        <w:pStyle w:val="5"/>
        <w:widowControl/>
        <w:shd w:val="clear" w:color="auto" w:fill="FFFFFF"/>
        <w:spacing w:beforeAutospacing="0" w:afterAutospacing="0"/>
        <w:ind w:left="420"/>
        <w:jc w:val="both"/>
        <w:rPr>
          <w:rFonts w:ascii="黑体" w:hAnsi="黑体" w:eastAsia="黑体" w:cs="黑体"/>
          <w:b/>
          <w:bCs/>
          <w:color w:val="333333"/>
          <w:sz w:val="28"/>
          <w:szCs w:val="28"/>
          <w:shd w:val="clear" w:color="auto" w:fill="FFFFFF"/>
        </w:rPr>
      </w:pP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主要工作过程</w:t>
      </w:r>
    </w:p>
    <w:p>
      <w:pPr>
        <w:ind w:firstLine="562" w:firstLineChars="200"/>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（1）预研阶段</w:t>
      </w:r>
    </w:p>
    <w:p>
      <w:pPr>
        <w:pStyle w:val="5"/>
        <w:widowControl/>
        <w:shd w:val="clear" w:color="auto" w:fill="FFFFFF"/>
        <w:ind w:left="420" w:firstLine="280" w:firstLineChars="100"/>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在研究论证的基础上提出制定项目建议。</w:t>
      </w:r>
    </w:p>
    <w:p>
      <w:pPr>
        <w:ind w:firstLine="562" w:firstLineChars="200"/>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（2）立项阶段</w:t>
      </w:r>
    </w:p>
    <w:p>
      <w:pPr>
        <w:pStyle w:val="5"/>
        <w:widowControl/>
        <w:shd w:val="clear" w:color="auto" w:fill="FFFFFF"/>
        <w:ind w:left="420" w:firstLine="280" w:firstLineChars="100"/>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 xml:space="preserve">由北京体育大学、北京大学组建《不同运动方式量效关系对照指南》编制组，进行人员分工和任务分解，组织开展相关工作。 </w:t>
      </w:r>
    </w:p>
    <w:p>
      <w:pPr>
        <w:ind w:firstLine="562" w:firstLineChars="200"/>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（3）起草阶段</w:t>
      </w:r>
    </w:p>
    <w:p>
      <w:pPr>
        <w:pStyle w:val="5"/>
        <w:widowControl/>
        <w:shd w:val="clear" w:color="auto" w:fill="FFFFFF"/>
        <w:ind w:left="420" w:firstLine="280" w:firstLineChars="100"/>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2022年1月～2022年8月，标准起草组召开起草工作研讨会，就标准起草过程中存在的问题进行集中研讨。标准起草组根据不同运动方式量效关系相关的研究，确定了不同运动方式量效关系对照指南的撰写，形成了标准草稿。</w:t>
      </w:r>
    </w:p>
    <w:p>
      <w:pPr>
        <w:ind w:firstLine="562" w:firstLineChars="200"/>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（4）征求意见阶段</w:t>
      </w:r>
    </w:p>
    <w:p>
      <w:pPr>
        <w:pStyle w:val="5"/>
        <w:widowControl/>
        <w:shd w:val="clear" w:color="auto" w:fill="FFFFFF"/>
        <w:ind w:left="420" w:firstLine="280" w:firstLineChars="100"/>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面向社会公开征求意见15天，以发征求意见函形式征求意见，召开线上标准征求意见会。编制组根据反馈意见对《不同运动方式量效关系对照指南》进行了修改完善，由北京体育大学对征集的意见进行归纳整理，分析研究和处理后提出标准送审稿。</w:t>
      </w:r>
    </w:p>
    <w:p>
      <w:pPr>
        <w:ind w:firstLine="562" w:firstLineChars="200"/>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（5）审查阶段</w:t>
      </w:r>
    </w:p>
    <w:p>
      <w:pPr>
        <w:pStyle w:val="5"/>
        <w:widowControl/>
        <w:shd w:val="clear" w:color="auto" w:fill="FFFFFF"/>
        <w:ind w:left="420" w:firstLine="280" w:firstLineChars="100"/>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 xml:space="preserve">由中国体育科学学会、北京体育大学组织召开《不同运动方式量效关系对照指南》标准审查会议。 </w:t>
      </w:r>
    </w:p>
    <w:p>
      <w:pPr>
        <w:ind w:firstLine="562" w:firstLineChars="200"/>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（6）报批阶段</w:t>
      </w:r>
    </w:p>
    <w:p>
      <w:pPr>
        <w:pStyle w:val="5"/>
        <w:widowControl/>
        <w:shd w:val="clear" w:color="auto" w:fill="FFFFFF"/>
        <w:spacing w:beforeAutospacing="0" w:afterAutospacing="0"/>
        <w:ind w:left="420" w:firstLine="280" w:firstLineChars="10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根据审查组提出的修改意见修改完善后形成报批稿。报送发布单位。</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color w:val="000000" w:themeColor="text1"/>
          <w:sz w:val="28"/>
          <w:szCs w:val="28"/>
          <w14:textFill>
            <w14:solidFill>
              <w14:schemeClr w14:val="tx1"/>
            </w14:solidFill>
          </w14:textFill>
        </w:rPr>
        <w:t>标准制定的目的和意义</w:t>
      </w:r>
    </w:p>
    <w:p>
      <w:pPr>
        <w:pStyle w:val="5"/>
        <w:widowControl/>
        <w:numPr>
          <w:ilvl w:val="0"/>
          <w:numId w:val="3"/>
        </w:numPr>
        <w:shd w:val="clear" w:color="auto" w:fill="FFFFFF"/>
        <w:spacing w:beforeAutospacing="0" w:afterAutospacing="0"/>
        <w:jc w:val="both"/>
        <w:rPr>
          <w:rFonts w:ascii="宋体" w:hAnsi="宋体" w:eastAsia="宋体" w:cs="宋体"/>
          <w:b/>
          <w:bCs/>
          <w:kern w:val="2"/>
          <w:sz w:val="28"/>
          <w:szCs w:val="28"/>
          <w:shd w:val="clear" w:color="auto" w:fill="FFFFFF"/>
        </w:rPr>
      </w:pPr>
      <w:r>
        <w:rPr>
          <w:rFonts w:hint="eastAsia" w:ascii="宋体" w:hAnsi="宋体" w:eastAsia="宋体" w:cs="宋体"/>
          <w:b/>
          <w:bCs/>
          <w:kern w:val="2"/>
          <w:sz w:val="28"/>
          <w:szCs w:val="28"/>
          <w:shd w:val="clear" w:color="auto" w:fill="FFFFFF"/>
        </w:rPr>
        <w:t>目的</w:t>
      </w:r>
    </w:p>
    <w:p>
      <w:pPr>
        <w:pStyle w:val="5"/>
        <w:widowControl/>
        <w:shd w:val="clear" w:color="auto" w:fill="FFFFFF"/>
        <w:spacing w:beforeAutospacing="0" w:afterAutospacing="0"/>
        <w:ind w:firstLine="560" w:firstLineChars="20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探讨中国人群不用运动方式所对应的运动强度，指定不同运动强度生理参数对照表，汇总不同运动强度所产生的生理效应，最终得到不同运动方式量效关系对照指南</w:t>
      </w:r>
    </w:p>
    <w:p>
      <w:pPr>
        <w:pStyle w:val="5"/>
        <w:widowControl/>
        <w:numPr>
          <w:ilvl w:val="0"/>
          <w:numId w:val="3"/>
        </w:numPr>
        <w:shd w:val="clear" w:color="auto" w:fill="FFFFFF"/>
        <w:spacing w:beforeAutospacing="0" w:afterAutospacing="0"/>
        <w:jc w:val="both"/>
        <w:rPr>
          <w:rFonts w:ascii="宋体" w:hAnsi="宋体" w:eastAsia="宋体" w:cs="宋体"/>
          <w:b/>
          <w:bCs/>
          <w:kern w:val="2"/>
          <w:sz w:val="28"/>
          <w:szCs w:val="28"/>
          <w:shd w:val="clear" w:color="auto" w:fill="FFFFFF"/>
        </w:rPr>
      </w:pPr>
      <w:r>
        <w:rPr>
          <w:rFonts w:hint="eastAsia" w:ascii="宋体" w:hAnsi="宋体" w:eastAsia="宋体" w:cs="宋体"/>
          <w:b/>
          <w:bCs/>
          <w:kern w:val="2"/>
          <w:sz w:val="28"/>
          <w:szCs w:val="28"/>
          <w:shd w:val="clear" w:color="auto" w:fill="FFFFFF"/>
        </w:rPr>
        <w:t>意义</w:t>
      </w:r>
    </w:p>
    <w:p>
      <w:pPr>
        <w:pStyle w:val="5"/>
        <w:widowControl/>
        <w:shd w:val="clear" w:color="auto" w:fill="FFFFFF"/>
        <w:spacing w:beforeAutospacing="0" w:afterAutospacing="0"/>
        <w:ind w:firstLine="560" w:firstLineChars="20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通过指定不同运动方式生理参数对照表，不同类型的人群可通过查表找到适合自己运动目标的运动方式，为精准化运动健身打下基础。</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编制原则、标准主要技术要求的依据（包括验证报告、统计数据等）及理由</w:t>
      </w:r>
    </w:p>
    <w:p>
      <w:pPr>
        <w:pStyle w:val="5"/>
        <w:widowControl/>
        <w:numPr>
          <w:ilvl w:val="0"/>
          <w:numId w:val="4"/>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编制原则</w:t>
      </w:r>
    </w:p>
    <w:p>
      <w:pPr>
        <w:pStyle w:val="12"/>
        <w:widowControl/>
        <w:ind w:left="420" w:firstLine="0" w:firstLineChars="0"/>
        <w:jc w:val="left"/>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w:t>
      </w:r>
      <w:r>
        <w:rPr>
          <w:rFonts w:ascii="宋体" w:hAnsi="宋体" w:eastAsia="宋体" w:cs="宋体"/>
          <w:b/>
          <w:bCs/>
          <w:sz w:val="28"/>
          <w:szCs w:val="28"/>
          <w:shd w:val="clear" w:color="auto" w:fill="FFFFFF"/>
        </w:rPr>
        <w:t>1</w:t>
      </w:r>
      <w:r>
        <w:rPr>
          <w:rFonts w:hint="eastAsia" w:ascii="宋体" w:hAnsi="宋体" w:eastAsia="宋体" w:cs="宋体"/>
          <w:b/>
          <w:bCs/>
          <w:sz w:val="28"/>
          <w:szCs w:val="28"/>
          <w:shd w:val="clear" w:color="auto" w:fill="FFFFFF"/>
        </w:rPr>
        <w:t xml:space="preserve">）合法性原则 </w:t>
      </w:r>
    </w:p>
    <w:p>
      <w:pPr>
        <w:pStyle w:val="12"/>
        <w:widowControl/>
        <w:ind w:left="420" w:firstLine="56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本导则编制遵循合法性原则，保证本导则符合国家的政策，贯彻国家的法律法规，切合国家需求与目标。 </w:t>
      </w:r>
    </w:p>
    <w:p>
      <w:pPr>
        <w:pStyle w:val="12"/>
        <w:widowControl/>
        <w:ind w:left="420" w:firstLine="0" w:firstLineChars="0"/>
        <w:jc w:val="left"/>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w:t>
      </w:r>
      <w:r>
        <w:rPr>
          <w:rFonts w:ascii="宋体" w:hAnsi="宋体" w:eastAsia="宋体" w:cs="宋体"/>
          <w:b/>
          <w:bCs/>
          <w:sz w:val="28"/>
          <w:szCs w:val="28"/>
          <w:shd w:val="clear" w:color="auto" w:fill="FFFFFF"/>
        </w:rPr>
        <w:t>2</w:t>
      </w:r>
      <w:r>
        <w:rPr>
          <w:rFonts w:hint="eastAsia" w:ascii="宋体" w:hAnsi="宋体" w:eastAsia="宋体" w:cs="宋体"/>
          <w:b/>
          <w:bCs/>
          <w:sz w:val="28"/>
          <w:szCs w:val="28"/>
          <w:shd w:val="clear" w:color="auto" w:fill="FFFFFF"/>
        </w:rPr>
        <w:t xml:space="preserve">）经济性原则 </w:t>
      </w:r>
    </w:p>
    <w:p>
      <w:pPr>
        <w:pStyle w:val="12"/>
        <w:widowControl/>
        <w:ind w:left="420" w:firstLine="560"/>
        <w:jc w:val="left"/>
        <w:rPr>
          <w:rFonts w:ascii="宋体" w:hAnsi="宋体" w:eastAsia="宋体" w:cs="宋体"/>
          <w:b/>
          <w:bCs/>
          <w:sz w:val="28"/>
          <w:szCs w:val="28"/>
          <w:shd w:val="clear" w:color="auto" w:fill="FFFFFF"/>
        </w:rPr>
      </w:pPr>
      <w:r>
        <w:rPr>
          <w:rFonts w:hint="eastAsia" w:ascii="宋体" w:hAnsi="宋体" w:eastAsia="宋体" w:cs="宋体"/>
          <w:sz w:val="28"/>
          <w:szCs w:val="28"/>
          <w:shd w:val="clear" w:color="auto" w:fill="FFFFFF"/>
        </w:rPr>
        <w:t xml:space="preserve">本导则编制遵循经济性原则，注意合理利用资源。 </w:t>
      </w:r>
    </w:p>
    <w:p>
      <w:pPr>
        <w:pStyle w:val="12"/>
        <w:widowControl/>
        <w:ind w:left="420" w:firstLine="0" w:firstLineChars="0"/>
        <w:jc w:val="left"/>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w:t>
      </w:r>
      <w:r>
        <w:rPr>
          <w:rFonts w:ascii="宋体" w:hAnsi="宋体" w:eastAsia="宋体" w:cs="宋体"/>
          <w:b/>
          <w:bCs/>
          <w:sz w:val="28"/>
          <w:szCs w:val="28"/>
          <w:shd w:val="clear" w:color="auto" w:fill="FFFFFF"/>
        </w:rPr>
        <w:t>3</w:t>
      </w:r>
      <w:r>
        <w:rPr>
          <w:rFonts w:hint="eastAsia" w:ascii="宋体" w:hAnsi="宋体" w:eastAsia="宋体" w:cs="宋体"/>
          <w:b/>
          <w:bCs/>
          <w:sz w:val="28"/>
          <w:szCs w:val="28"/>
          <w:shd w:val="clear" w:color="auto" w:fill="FFFFFF"/>
        </w:rPr>
        <w:t xml:space="preserve">）可行性原则 </w:t>
      </w:r>
    </w:p>
    <w:p>
      <w:pPr>
        <w:pStyle w:val="12"/>
        <w:widowControl/>
        <w:ind w:left="420" w:firstLine="0" w:firstLineChars="0"/>
        <w:jc w:val="left"/>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w:t>
      </w:r>
      <w:r>
        <w:rPr>
          <w:rFonts w:ascii="宋体" w:hAnsi="宋体" w:eastAsia="宋体" w:cs="宋体"/>
          <w:b/>
          <w:bCs/>
          <w:sz w:val="28"/>
          <w:szCs w:val="28"/>
          <w:shd w:val="clear" w:color="auto" w:fill="FFFFFF"/>
        </w:rPr>
        <w:t>4</w:t>
      </w:r>
      <w:r>
        <w:rPr>
          <w:rFonts w:hint="eastAsia" w:ascii="宋体" w:hAnsi="宋体" w:eastAsia="宋体" w:cs="宋体"/>
          <w:b/>
          <w:bCs/>
          <w:sz w:val="28"/>
          <w:szCs w:val="28"/>
          <w:shd w:val="clear" w:color="auto" w:fill="FFFFFF"/>
        </w:rPr>
        <w:t xml:space="preserve">）技术先进性原则 </w:t>
      </w:r>
    </w:p>
    <w:p>
      <w:pPr>
        <w:pStyle w:val="12"/>
        <w:widowControl/>
        <w:ind w:left="420" w:firstLine="0" w:firstLineChars="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w:t>
      </w:r>
      <w:r>
        <w:rPr>
          <w:rFonts w:ascii="宋体" w:hAnsi="宋体" w:eastAsia="宋体" w:cs="宋体"/>
          <w:sz w:val="28"/>
          <w:szCs w:val="28"/>
          <w:shd w:val="clear" w:color="auto" w:fill="FFFFFF"/>
        </w:rPr>
        <w:t xml:space="preserve">   </w:t>
      </w:r>
      <w:r>
        <w:rPr>
          <w:rFonts w:hint="eastAsia" w:ascii="宋体" w:hAnsi="宋体" w:eastAsia="宋体" w:cs="宋体"/>
          <w:sz w:val="28"/>
          <w:szCs w:val="28"/>
          <w:shd w:val="clear" w:color="auto" w:fill="FFFFFF"/>
        </w:rPr>
        <w:t>结合了流行病学调查、实验室研究和m</w:t>
      </w:r>
      <w:r>
        <w:rPr>
          <w:rFonts w:ascii="宋体" w:hAnsi="宋体" w:eastAsia="宋体" w:cs="宋体"/>
          <w:sz w:val="28"/>
          <w:szCs w:val="28"/>
          <w:shd w:val="clear" w:color="auto" w:fill="FFFFFF"/>
        </w:rPr>
        <w:t>eta</w:t>
      </w:r>
      <w:r>
        <w:rPr>
          <w:rFonts w:hint="eastAsia" w:ascii="宋体" w:hAnsi="宋体" w:eastAsia="宋体" w:cs="宋体"/>
          <w:sz w:val="28"/>
          <w:szCs w:val="28"/>
          <w:shd w:val="clear" w:color="auto" w:fill="FFFFFF"/>
        </w:rPr>
        <w:t>分析三种方法。</w:t>
      </w:r>
    </w:p>
    <w:p>
      <w:pPr>
        <w:pStyle w:val="12"/>
        <w:widowControl/>
        <w:numPr>
          <w:ilvl w:val="0"/>
          <w:numId w:val="5"/>
        </w:numPr>
        <w:ind w:firstLineChars="0"/>
        <w:jc w:val="left"/>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 xml:space="preserve">系统性原则 </w:t>
      </w:r>
    </w:p>
    <w:p>
      <w:pPr>
        <w:widowControl/>
        <w:ind w:firstLine="980" w:firstLineChars="350"/>
        <w:jc w:val="left"/>
        <w:rPr>
          <w:rFonts w:ascii="黑体" w:hAnsi="黑体" w:eastAsia="黑体" w:cs="黑体"/>
          <w:b/>
          <w:bCs/>
          <w:color w:val="333333"/>
          <w:sz w:val="28"/>
          <w:szCs w:val="28"/>
          <w:shd w:val="clear" w:color="auto" w:fill="FFFFFF"/>
        </w:rPr>
      </w:pPr>
      <w:r>
        <w:rPr>
          <w:rFonts w:hint="eastAsia" w:ascii="宋体" w:hAnsi="宋体" w:eastAsia="宋体" w:cs="宋体"/>
          <w:sz w:val="28"/>
          <w:szCs w:val="28"/>
          <w:shd w:val="clear" w:color="auto" w:fill="FFFFFF"/>
        </w:rPr>
        <w:t>从全局出发，考虑全社会的综合效益。</w:t>
      </w:r>
    </w:p>
    <w:p>
      <w:pPr>
        <w:pStyle w:val="5"/>
        <w:widowControl/>
        <w:numPr>
          <w:ilvl w:val="0"/>
          <w:numId w:val="4"/>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标准的主要内容及主要技术要求的依据（包括验证报告、统计数据等）</w:t>
      </w:r>
    </w:p>
    <w:p>
      <w:pPr>
        <w:pStyle w:val="5"/>
        <w:widowControl/>
        <w:shd w:val="clear" w:color="auto" w:fill="FFFFFF"/>
        <w:spacing w:beforeAutospacing="0" w:afterAutospacing="0"/>
        <w:ind w:left="360" w:firstLine="281" w:firstLineChars="100"/>
        <w:jc w:val="both"/>
        <w:rPr>
          <w:rFonts w:ascii="宋体" w:hAnsi="宋体" w:eastAsia="宋体" w:cs="宋体"/>
          <w:b/>
          <w:bCs/>
          <w:sz w:val="28"/>
          <w:szCs w:val="28"/>
        </w:rPr>
      </w:pPr>
      <w:r>
        <w:rPr>
          <w:rFonts w:hint="eastAsia" w:ascii="宋体" w:hAnsi="宋体" w:eastAsia="宋体" w:cs="宋体"/>
          <w:b/>
          <w:bCs/>
          <w:sz w:val="28"/>
          <w:szCs w:val="28"/>
        </w:rPr>
        <w:t>1</w:t>
      </w:r>
      <w:r>
        <w:rPr>
          <w:rFonts w:ascii="宋体" w:hAnsi="宋体" w:eastAsia="宋体" w:cs="宋体"/>
          <w:b/>
          <w:bCs/>
          <w:sz w:val="28"/>
          <w:szCs w:val="28"/>
        </w:rPr>
        <w:t xml:space="preserve"> </w:t>
      </w:r>
      <w:r>
        <w:rPr>
          <w:rFonts w:hint="eastAsia" w:ascii="宋体" w:hAnsi="宋体" w:eastAsia="宋体" w:cs="宋体"/>
          <w:b/>
          <w:bCs/>
          <w:sz w:val="28"/>
          <w:szCs w:val="28"/>
        </w:rPr>
        <w:t>主要内容及主要技术要求的依据</w:t>
      </w:r>
    </w:p>
    <w:p>
      <w:pPr>
        <w:pStyle w:val="5"/>
        <w:widowControl/>
        <w:shd w:val="clear" w:color="auto" w:fill="FFFFFF"/>
        <w:spacing w:beforeAutospacing="0" w:afterAutospacing="0"/>
        <w:ind w:left="360" w:firstLine="281" w:firstLineChars="100"/>
        <w:jc w:val="both"/>
        <w:rPr>
          <w:rFonts w:ascii="宋体" w:hAnsi="宋体" w:eastAsia="宋体" w:cs="宋体"/>
          <w:b/>
          <w:bCs/>
          <w:sz w:val="28"/>
          <w:szCs w:val="28"/>
        </w:rPr>
      </w:pPr>
      <w:r>
        <w:rPr>
          <w:rFonts w:ascii="宋体" w:hAnsi="宋体" w:eastAsia="宋体" w:cs="宋体"/>
          <w:b/>
          <w:bCs/>
          <w:sz w:val="28"/>
          <w:szCs w:val="28"/>
        </w:rPr>
        <w:t>1.1</w:t>
      </w:r>
      <w:r>
        <w:rPr>
          <w:rFonts w:hint="eastAsia" w:ascii="宋体" w:hAnsi="宋体" w:eastAsia="宋体" w:cs="宋体"/>
          <w:b/>
          <w:bCs/>
          <w:sz w:val="28"/>
          <w:szCs w:val="28"/>
        </w:rPr>
        <w:t>不同运动方式所对应运动强度</w:t>
      </w:r>
    </w:p>
    <w:p>
      <w:pPr>
        <w:widowControl/>
        <w:ind w:firstLine="560" w:firstLineChars="200"/>
        <w:rPr>
          <w:rFonts w:ascii="宋体" w:hAnsi="宋体" w:eastAsia="宋体" w:cs="宋体"/>
          <w:sz w:val="28"/>
          <w:szCs w:val="28"/>
          <w:shd w:val="clear" w:color="auto" w:fill="FFFFFF"/>
        </w:rPr>
      </w:pPr>
      <w:r>
        <w:rPr>
          <w:rFonts w:ascii="宋体" w:hAnsi="宋体" w:eastAsia="宋体" w:cs="宋体"/>
          <w:sz w:val="28"/>
          <w:szCs w:val="28"/>
          <w:shd w:val="clear" w:color="auto" w:fill="FFFFFF"/>
        </w:rPr>
        <w:t>采用问卷调查方法</w:t>
      </w:r>
      <w:r>
        <w:rPr>
          <w:rFonts w:hint="eastAsia" w:ascii="宋体" w:hAnsi="宋体" w:eastAsia="宋体" w:cs="宋体"/>
          <w:sz w:val="28"/>
          <w:szCs w:val="28"/>
          <w:shd w:val="clear" w:color="auto" w:fill="FFFFFF"/>
        </w:rPr>
        <w:t>，</w:t>
      </w:r>
      <w:r>
        <w:rPr>
          <w:rFonts w:ascii="宋体" w:hAnsi="宋体" w:eastAsia="宋体" w:cs="宋体"/>
          <w:sz w:val="28"/>
          <w:szCs w:val="28"/>
          <w:shd w:val="clear" w:color="auto" w:fill="FFFFFF"/>
        </w:rPr>
        <w:t>结合我国国情编制《健康人群健身情况调查问卷》，调查中国不同人群（20</w:t>
      </w:r>
      <w:r>
        <w:rPr>
          <w:rFonts w:hint="eastAsia" w:ascii="宋体" w:hAnsi="宋体" w:eastAsia="宋体" w:cs="宋体"/>
          <w:sz w:val="28"/>
          <w:szCs w:val="28"/>
          <w:shd w:val="clear" w:color="auto" w:fill="FFFFFF"/>
        </w:rPr>
        <w:t>~69</w:t>
      </w:r>
      <w:r>
        <w:rPr>
          <w:rFonts w:ascii="宋体" w:hAnsi="宋体" w:eastAsia="宋体" w:cs="宋体"/>
          <w:sz w:val="28"/>
          <w:szCs w:val="28"/>
          <w:shd w:val="clear" w:color="auto" w:fill="FFFFFF"/>
        </w:rPr>
        <w:t>岁）的健身状况</w:t>
      </w:r>
      <w:r>
        <w:rPr>
          <w:rFonts w:hint="eastAsia" w:ascii="宋体" w:hAnsi="宋体" w:eastAsia="宋体" w:cs="宋体"/>
          <w:sz w:val="28"/>
          <w:szCs w:val="28"/>
          <w:shd w:val="clear" w:color="auto" w:fill="FFFFFF"/>
        </w:rPr>
        <w:t>。</w:t>
      </w:r>
      <w:r>
        <w:rPr>
          <w:rFonts w:ascii="宋体" w:hAnsi="宋体" w:eastAsia="宋体" w:cs="宋体"/>
          <w:sz w:val="28"/>
          <w:szCs w:val="28"/>
          <w:shd w:val="clear" w:color="auto" w:fill="FFFFFF"/>
        </w:rPr>
        <w:t>采用分层随机抽样的方法对不同年龄的人群进行调查。问卷内容涉及两个维度：（1）基本信息调查：性别、年龄、受教育程度、职业等；（2）健身信息调查：健身运动方式、持续时间、频率及健身运动方式RPE值等。采用电子问卷的形式，通过问卷星平台进行问卷的发放和回收，在2020年11月</w:t>
      </w:r>
      <w:r>
        <w:rPr>
          <w:rFonts w:hint="eastAsia" w:ascii="宋体" w:hAnsi="宋体" w:eastAsia="宋体" w:cs="宋体"/>
          <w:sz w:val="28"/>
          <w:szCs w:val="28"/>
          <w:shd w:val="clear" w:color="auto" w:fill="FFFFFF"/>
        </w:rPr>
        <w:t>~</w:t>
      </w:r>
      <w:r>
        <w:rPr>
          <w:rFonts w:ascii="宋体" w:hAnsi="宋体" w:eastAsia="宋体" w:cs="宋体"/>
          <w:sz w:val="28"/>
          <w:szCs w:val="28"/>
          <w:shd w:val="clear" w:color="auto" w:fill="FFFFFF"/>
        </w:rPr>
        <w:t>2021年12月期间，共收集有效问卷</w:t>
      </w:r>
      <w:r>
        <w:rPr>
          <w:rFonts w:hint="eastAsia" w:ascii="宋体" w:hAnsi="宋体" w:eastAsia="宋体" w:cs="宋体"/>
          <w:sz w:val="28"/>
          <w:szCs w:val="28"/>
          <w:shd w:val="clear" w:color="auto" w:fill="FFFFFF"/>
        </w:rPr>
        <w:t>1979</w:t>
      </w:r>
      <w:r>
        <w:rPr>
          <w:rFonts w:ascii="宋体" w:hAnsi="宋体" w:eastAsia="宋体" w:cs="宋体"/>
          <w:sz w:val="28"/>
          <w:szCs w:val="28"/>
          <w:shd w:val="clear" w:color="auto" w:fill="FFFFFF"/>
        </w:rPr>
        <w:t>份。</w:t>
      </w:r>
    </w:p>
    <w:p>
      <w:pPr>
        <w:widowControl/>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通过问卷调查，将不同人群不同运动方式所对应的R</w:t>
      </w:r>
      <w:r>
        <w:rPr>
          <w:rFonts w:ascii="宋体" w:hAnsi="宋体" w:eastAsia="宋体" w:cs="宋体"/>
          <w:sz w:val="28"/>
          <w:szCs w:val="28"/>
          <w:shd w:val="clear" w:color="auto" w:fill="FFFFFF"/>
        </w:rPr>
        <w:t>PE</w:t>
      </w:r>
      <w:r>
        <w:rPr>
          <w:rFonts w:hint="eastAsia" w:ascii="宋体" w:hAnsi="宋体" w:eastAsia="宋体" w:cs="宋体"/>
          <w:sz w:val="28"/>
          <w:szCs w:val="28"/>
          <w:shd w:val="clear" w:color="auto" w:fill="FFFFFF"/>
        </w:rPr>
        <w:t>进行合并，得到不同人群不同运动方式所对应的强度大小。</w:t>
      </w:r>
    </w:p>
    <w:p>
      <w:pPr>
        <w:pStyle w:val="5"/>
        <w:widowControl/>
        <w:shd w:val="clear" w:color="auto" w:fill="FFFFFF"/>
        <w:spacing w:beforeAutospacing="0" w:afterAutospacing="0"/>
        <w:ind w:left="360" w:firstLine="281" w:firstLineChars="100"/>
        <w:jc w:val="both"/>
        <w:rPr>
          <w:rFonts w:ascii="宋体" w:hAnsi="宋体" w:eastAsia="宋体" w:cs="宋体"/>
          <w:b/>
          <w:bCs/>
          <w:sz w:val="28"/>
          <w:szCs w:val="28"/>
        </w:rPr>
      </w:pPr>
      <w:r>
        <w:rPr>
          <w:rFonts w:hint="eastAsia" w:ascii="宋体" w:hAnsi="宋体" w:eastAsia="宋体" w:cs="宋体"/>
          <w:b/>
          <w:bCs/>
          <w:sz w:val="28"/>
          <w:szCs w:val="28"/>
        </w:rPr>
        <w:t>1</w:t>
      </w:r>
      <w:r>
        <w:rPr>
          <w:rFonts w:ascii="宋体" w:hAnsi="宋体" w:eastAsia="宋体" w:cs="宋体"/>
          <w:b/>
          <w:bCs/>
          <w:sz w:val="28"/>
          <w:szCs w:val="28"/>
        </w:rPr>
        <w:t>.2</w:t>
      </w:r>
      <w:r>
        <w:rPr>
          <w:rFonts w:hint="eastAsia" w:ascii="宋体" w:hAnsi="宋体" w:eastAsia="宋体" w:cs="宋体"/>
          <w:b/>
          <w:bCs/>
          <w:sz w:val="28"/>
          <w:szCs w:val="28"/>
        </w:rPr>
        <w:t>不同运动强度生理参数对照表</w:t>
      </w:r>
    </w:p>
    <w:p>
      <w:pPr>
        <w:widowControl/>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招募北京市成年人群进行实验。纳入标准：20~69岁，男女不限，无运动训练经验，无心脏病、哮喘、外周血管疾病、脑血管疾病、哮喘、糖尿病、肾脏疾病等病史，近期没有下肢及其他部位损伤。最终纳入共249人，其中20~39岁人群106人、40~59岁人群100人、60~69岁人群43人。本研究得到北京体育大学运动科学实验伦理委员会批准（批准号：</w:t>
      </w:r>
      <w:r>
        <w:rPr>
          <w:rFonts w:ascii="宋体" w:hAnsi="宋体" w:eastAsia="宋体" w:cs="宋体"/>
          <w:sz w:val="28"/>
          <w:szCs w:val="28"/>
          <w:shd w:val="clear" w:color="auto" w:fill="FFFFFF"/>
        </w:rPr>
        <w:t>201906711</w:t>
      </w:r>
      <w:r>
        <w:rPr>
          <w:rFonts w:hint="eastAsia" w:ascii="宋体" w:hAnsi="宋体" w:eastAsia="宋体" w:cs="宋体"/>
          <w:sz w:val="28"/>
          <w:szCs w:val="28"/>
          <w:shd w:val="clear" w:color="auto" w:fill="FFFFFF"/>
        </w:rPr>
        <w:t>）。所有受试者在实验前均填写知情同意书、基本信息登记表和国际版PAR-Q问卷。</w:t>
      </w:r>
    </w:p>
    <w:p>
      <w:pPr>
        <w:pStyle w:val="5"/>
        <w:widowControl/>
        <w:shd w:val="clear" w:color="auto" w:fill="FFFFFF"/>
        <w:spacing w:beforeAutospacing="0" w:afterAutospacing="0"/>
        <w:ind w:left="360" w:firstLine="281" w:firstLineChars="10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1</w:t>
      </w:r>
      <w:r>
        <w:rPr>
          <w:rFonts w:ascii="黑体" w:hAnsi="黑体" w:eastAsia="黑体" w:cs="黑体"/>
          <w:b/>
          <w:bCs/>
          <w:color w:val="333333"/>
          <w:sz w:val="28"/>
          <w:szCs w:val="28"/>
          <w:shd w:val="clear" w:color="auto" w:fill="FFFFFF"/>
        </w:rPr>
        <w:t xml:space="preserve">.2.1 </w:t>
      </w:r>
      <w:r>
        <w:rPr>
          <w:rFonts w:hint="eastAsia" w:ascii="黑体" w:hAnsi="黑体" w:eastAsia="黑体" w:cs="黑体"/>
          <w:b/>
          <w:bCs/>
          <w:color w:val="333333"/>
          <w:sz w:val="28"/>
          <w:szCs w:val="28"/>
          <w:shd w:val="clear" w:color="auto" w:fill="FFFFFF"/>
        </w:rPr>
        <w:t>测试方法</w:t>
      </w:r>
    </w:p>
    <w:p>
      <w:pPr>
        <w:pStyle w:val="5"/>
        <w:widowControl/>
        <w:shd w:val="clear" w:color="auto" w:fill="FFFFFF"/>
        <w:spacing w:beforeAutospacing="0" w:afterAutospacing="0"/>
        <w:ind w:firstLine="560" w:firstLineChars="200"/>
        <w:jc w:val="both"/>
        <w:rPr>
          <w:rFonts w:ascii="宋体" w:hAnsi="宋体" w:eastAsia="宋体" w:cs="黑体"/>
          <w:color w:val="333333"/>
          <w:sz w:val="28"/>
          <w:szCs w:val="28"/>
          <w:shd w:val="clear" w:color="auto" w:fill="FFFFFF"/>
        </w:rPr>
      </w:pPr>
      <w:r>
        <w:rPr>
          <w:rFonts w:hint="eastAsia" w:ascii="宋体" w:hAnsi="宋体" w:eastAsia="宋体" w:cs="黑体"/>
          <w:color w:val="333333"/>
          <w:sz w:val="28"/>
          <w:szCs w:val="28"/>
          <w:shd w:val="clear" w:color="auto" w:fill="FFFFFF"/>
        </w:rPr>
        <w:t>在正式试验前一周，招募到的受试者来实验室进行筛查：受试者填写PAR-Q问卷，并签署书面知情同意书，实验人员记录受试者基本信息。实验人员为受试者讲解注意事项，使受试者熟悉实验设备和实验流程。受试者被告知测试当天不饮酒，餐后（5~7分饱）至少半小时后才能开始测试，测试开始前1小时内不喝咖啡浓茶；测试前1天及当天要注意休息，避免参加大强度、长时间的运动；测试当天应当穿着方便运动的宽松、透气的衣裤和运动鞋（防止衣物对于受试者运动能力的影响）；如果最近一周内有急性感染，如严重感冒、急性肺炎或气管炎、急性肠炎等，不能参加测试；测试前24小时,要喝充足的水,确保测试前的正常水平衡所有受试者都完成了一次递增功率测试。所有测试都在同一台功率自行车（Monark839E）上进行，功率自行车的座椅高度和把手的位置可以自行调节。在测试全程，气体代谢分析系统（CORTEX-METAMAX II）用于监测气体交换（每次测试之前都会进行校准），Polar表用于监测心率，EKF台式乳酸仪用于分析每一阶段的血液乳酸盐浓度。</w:t>
      </w:r>
    </w:p>
    <w:p>
      <w:pPr>
        <w:pStyle w:val="5"/>
        <w:widowControl/>
        <w:shd w:val="clear" w:color="auto" w:fill="FFFFFF"/>
        <w:spacing w:beforeAutospacing="0" w:afterAutospacing="0"/>
        <w:ind w:firstLine="560" w:firstLineChars="200"/>
        <w:jc w:val="both"/>
        <w:rPr>
          <w:rFonts w:ascii="宋体" w:hAnsi="宋体" w:eastAsia="宋体" w:cs="黑体"/>
          <w:color w:val="333333"/>
          <w:sz w:val="28"/>
          <w:szCs w:val="28"/>
          <w:shd w:val="clear" w:color="auto" w:fill="FFFFFF"/>
        </w:rPr>
      </w:pPr>
      <w:r>
        <w:rPr>
          <w:rFonts w:hint="eastAsia" w:ascii="宋体" w:hAnsi="宋体" w:eastAsia="宋体" w:cs="黑体"/>
          <w:color w:val="333333"/>
          <w:sz w:val="28"/>
          <w:szCs w:val="28"/>
          <w:shd w:val="clear" w:color="auto" w:fill="FFFFFF"/>
        </w:rPr>
        <w:t>递增负荷测试为台阶式，要求所有受试者保持60rpm/min的蹬踏速率。在实验开始时，研究人员向受试者介绍了如何使用RPE量表（CR10），RPE量表在整个实验过程中对于被试都是可见的。正式运动开始前，有3分钟的静息期和3分钟的无负荷蹬踏期。正式运动开始，无论男性还是女性，功率自行车的负荷都从20W的功率开始，每一级增加20W的功率，每一级保持3分钟。正式运动结束后经历3分钟的恢复期。测试停止指征：1）受试者主观力竭：Borg CR10量表达到10分；2）预测最大心率的90% (HRmax= 220-年龄)或存在心率平台(连续2个功率之间的△HR ≤ 4次·min-1)；3）存在VO2平台(△VO2在两个连续功率 &lt; 2.1 mL·kg-1·min-1)；4）最大呼吸交换率(RERmax) &gt; 1.10。如果满足三个及以上的指征，说明达到最大摄氧量，则停止测试，进入恢复期。当受试者不再希望继续进行测试时，或者如果受试者表现出过度疲劳的迹象，并表明其达到或超过运动耐受水平时，测试被终止。如果实验人员认为继续进行测试是危险的，测试也将被终止，例如，如果12导联心电图检测到心脏功能变化（尤其是ST段变化）表明心肌缺血。在静息期，实验人员采集一次受试者的指尖血，在每一级的最后30秒，实验人员采集受试者的指尖血，在每一级的最后15秒，实验人员询问受试者的主观疲劳感觉并记录。</w:t>
      </w:r>
    </w:p>
    <w:p>
      <w:pPr>
        <w:pStyle w:val="5"/>
        <w:widowControl/>
        <w:shd w:val="clear" w:color="auto" w:fill="FFFFFF"/>
        <w:spacing w:beforeAutospacing="0" w:afterAutospacing="0"/>
        <w:ind w:firstLine="562" w:firstLineChars="20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1</w:t>
      </w:r>
      <w:r>
        <w:rPr>
          <w:rFonts w:ascii="黑体" w:hAnsi="黑体" w:eastAsia="黑体" w:cs="黑体"/>
          <w:b/>
          <w:bCs/>
          <w:color w:val="333333"/>
          <w:sz w:val="28"/>
          <w:szCs w:val="28"/>
          <w:shd w:val="clear" w:color="auto" w:fill="FFFFFF"/>
        </w:rPr>
        <w:t xml:space="preserve">.2.2 </w:t>
      </w:r>
      <w:r>
        <w:rPr>
          <w:rFonts w:hint="eastAsia" w:ascii="黑体" w:hAnsi="黑体" w:eastAsia="黑体" w:cs="黑体"/>
          <w:b/>
          <w:bCs/>
          <w:color w:val="333333"/>
          <w:sz w:val="28"/>
          <w:szCs w:val="28"/>
          <w:shd w:val="clear" w:color="auto" w:fill="FFFFFF"/>
        </w:rPr>
        <w:t>测量仪器</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气体代谢分析系统（</w:t>
      </w:r>
      <w:r>
        <w:rPr>
          <w:rFonts w:ascii="宋体" w:hAnsi="宋体" w:eastAsia="宋体" w:cs="Times New Roman"/>
          <w:sz w:val="28"/>
          <w:szCs w:val="28"/>
        </w:rPr>
        <w:t>Cortex-Metamax II）</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心电监护系统（</w:t>
      </w:r>
      <w:r>
        <w:rPr>
          <w:rFonts w:ascii="宋体" w:hAnsi="宋体" w:eastAsia="宋体" w:cs="Times New Roman"/>
          <w:sz w:val="28"/>
          <w:szCs w:val="28"/>
        </w:rPr>
        <w:t>Customed 300）</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功率自行车车（</w:t>
      </w:r>
      <w:r>
        <w:rPr>
          <w:rFonts w:ascii="宋体" w:hAnsi="宋体" w:eastAsia="宋体" w:cs="Times New Roman"/>
          <w:sz w:val="28"/>
          <w:szCs w:val="28"/>
        </w:rPr>
        <w:t>Monark 839E）</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血乳酸分析仪（</w:t>
      </w:r>
      <w:r>
        <w:rPr>
          <w:rFonts w:ascii="宋体" w:hAnsi="宋体" w:eastAsia="宋体" w:cs="Times New Roman"/>
          <w:sz w:val="28"/>
          <w:szCs w:val="28"/>
        </w:rPr>
        <w:t>Biosen S-line lab , EKF Diagnostic, Barleben, Germany）</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立式血压计（</w:t>
      </w:r>
      <w:r>
        <w:rPr>
          <w:rFonts w:ascii="宋体" w:hAnsi="宋体" w:eastAsia="宋体" w:cs="Times New Roman"/>
          <w:sz w:val="28"/>
          <w:szCs w:val="28"/>
        </w:rPr>
        <w:t>MERCURIAL 血压计）</w:t>
      </w:r>
    </w:p>
    <w:p>
      <w:pPr>
        <w:pStyle w:val="5"/>
        <w:widowControl/>
        <w:shd w:val="clear" w:color="auto" w:fill="FFFFFF"/>
        <w:spacing w:beforeAutospacing="0" w:afterAutospacing="0"/>
        <w:ind w:firstLine="562" w:firstLineChars="20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1</w:t>
      </w:r>
      <w:r>
        <w:rPr>
          <w:rFonts w:ascii="黑体" w:hAnsi="黑体" w:eastAsia="黑体" w:cs="黑体"/>
          <w:b/>
          <w:bCs/>
          <w:color w:val="333333"/>
          <w:sz w:val="28"/>
          <w:szCs w:val="28"/>
          <w:shd w:val="clear" w:color="auto" w:fill="FFFFFF"/>
        </w:rPr>
        <w:t xml:space="preserve">.2.3 </w:t>
      </w:r>
      <w:r>
        <w:rPr>
          <w:rFonts w:hint="eastAsia" w:ascii="黑体" w:hAnsi="黑体" w:eastAsia="黑体" w:cs="黑体"/>
          <w:b/>
          <w:bCs/>
          <w:color w:val="333333"/>
          <w:sz w:val="28"/>
          <w:szCs w:val="28"/>
          <w:shd w:val="clear" w:color="auto" w:fill="FFFFFF"/>
        </w:rPr>
        <w:t>数理统计</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用</w:t>
      </w:r>
      <w:r>
        <w:rPr>
          <w:rFonts w:ascii="宋体" w:hAnsi="宋体" w:eastAsia="宋体" w:cs="Times New Roman"/>
          <w:sz w:val="28"/>
          <w:szCs w:val="28"/>
        </w:rPr>
        <w:t>R语言进行数据处理，用Shapiro-Wilk检验数据的正态性，正态分布的数据用平均值±标准差（Mean ± SD）表示，非正态分布的数据用中位数（四分位间距）表示。</w:t>
      </w:r>
      <w:r>
        <w:rPr>
          <w:rFonts w:hint="eastAsia" w:ascii="宋体" w:hAnsi="宋体" w:eastAsia="宋体" w:cs="Times New Roman"/>
          <w:sz w:val="28"/>
          <w:szCs w:val="28"/>
        </w:rPr>
        <w:t>以%</w:t>
      </w:r>
      <w:r>
        <w:rPr>
          <w:rFonts w:ascii="宋体" w:hAnsi="宋体" w:eastAsia="宋体" w:cs="Times New Roman"/>
          <w:sz w:val="28"/>
          <w:szCs w:val="28"/>
        </w:rPr>
        <w:t>VO2max</w:t>
      </w:r>
      <w:r>
        <w:rPr>
          <w:rFonts w:hint="eastAsia" w:ascii="宋体" w:hAnsi="宋体" w:eastAsia="宋体" w:cs="Times New Roman"/>
          <w:sz w:val="28"/>
          <w:szCs w:val="28"/>
        </w:rPr>
        <w:t>为自变量，M</w:t>
      </w:r>
      <w:r>
        <w:rPr>
          <w:rFonts w:ascii="宋体" w:hAnsi="宋体" w:eastAsia="宋体" w:cs="Times New Roman"/>
          <w:sz w:val="28"/>
          <w:szCs w:val="28"/>
        </w:rPr>
        <w:t>ET</w:t>
      </w:r>
      <w:r>
        <w:rPr>
          <w:rFonts w:hint="eastAsia" w:ascii="宋体" w:hAnsi="宋体" w:eastAsia="宋体" w:cs="Times New Roman"/>
          <w:sz w:val="28"/>
          <w:szCs w:val="28"/>
        </w:rPr>
        <w:t>值、R</w:t>
      </w:r>
      <w:r>
        <w:rPr>
          <w:rFonts w:ascii="宋体" w:hAnsi="宋体" w:eastAsia="宋体" w:cs="Times New Roman"/>
          <w:sz w:val="28"/>
          <w:szCs w:val="28"/>
        </w:rPr>
        <w:t>PE</w:t>
      </w:r>
      <w:r>
        <w:rPr>
          <w:rFonts w:hint="eastAsia" w:ascii="宋体" w:hAnsi="宋体" w:eastAsia="宋体" w:cs="Times New Roman"/>
          <w:sz w:val="28"/>
          <w:szCs w:val="28"/>
        </w:rPr>
        <w:t>值和乳酸值等为因变量建立回归方程。得到不同年龄层不同运动强度生理参数对应关系，再根据低、中和高三个强度，标定不同强度各个生理参数指标区间范围，得到不同运动强度生理参数对照表。</w:t>
      </w:r>
    </w:p>
    <w:p>
      <w:pPr>
        <w:pStyle w:val="5"/>
        <w:widowControl/>
        <w:shd w:val="clear" w:color="auto" w:fill="FFFFFF"/>
        <w:spacing w:beforeAutospacing="0" w:afterAutospacing="0"/>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1</w:t>
      </w:r>
      <w:r>
        <w:rPr>
          <w:rFonts w:ascii="宋体" w:hAnsi="宋体" w:eastAsia="宋体" w:cs="宋体"/>
          <w:b/>
          <w:bCs/>
          <w:sz w:val="28"/>
          <w:szCs w:val="28"/>
        </w:rPr>
        <w:t xml:space="preserve">.3 </w:t>
      </w:r>
      <w:r>
        <w:rPr>
          <w:rFonts w:hint="eastAsia" w:ascii="宋体" w:hAnsi="宋体" w:eastAsia="宋体" w:cs="宋体"/>
          <w:b/>
          <w:bCs/>
          <w:sz w:val="28"/>
          <w:szCs w:val="28"/>
        </w:rPr>
        <w:t>不同运动强度产生生理效应</w:t>
      </w:r>
    </w:p>
    <w:p>
      <w:pPr>
        <w:pStyle w:val="5"/>
        <w:widowControl/>
        <w:shd w:val="clear" w:color="auto" w:fill="FFFFFF"/>
        <w:spacing w:beforeAutospacing="0" w:afterAutospacing="0"/>
        <w:ind w:firstLine="560" w:firstLineChars="200"/>
        <w:jc w:val="both"/>
        <w:rPr>
          <w:rFonts w:ascii="宋体" w:hAnsi="宋体" w:eastAsia="宋体"/>
          <w:kern w:val="2"/>
          <w:sz w:val="28"/>
          <w:szCs w:val="28"/>
        </w:rPr>
      </w:pPr>
      <w:r>
        <w:rPr>
          <w:rFonts w:ascii="宋体" w:hAnsi="宋体" w:eastAsia="宋体"/>
          <w:kern w:val="2"/>
          <w:sz w:val="28"/>
          <w:szCs w:val="28"/>
        </w:rPr>
        <w:t>采用Meta分析方法，研究不同运动强度对不同人群所产生的效益。Meta分析通过综合各个原始文献，增大研究样本量，量化不同运动方式所对应的运动强度大小，然后根据不同运动强度大小归纳出不同人群不同强度所产生的生理效益。通过此次研究，汇总不同强度对不同人群产生的效益，给出个性化运动强度指导意见，为精准化运动健身打下基础。</w:t>
      </w:r>
    </w:p>
    <w:p>
      <w:pPr>
        <w:pStyle w:val="5"/>
        <w:widowControl/>
        <w:shd w:val="clear" w:color="auto" w:fill="FFFFFF"/>
        <w:spacing w:beforeAutospacing="0" w:afterAutospacing="0"/>
        <w:ind w:firstLine="562" w:firstLineChars="200"/>
        <w:jc w:val="both"/>
        <w:rPr>
          <w:rFonts w:ascii="宋体" w:hAnsi="宋体" w:eastAsia="宋体" w:cs="宋体"/>
          <w:b/>
          <w:bCs/>
          <w:sz w:val="28"/>
          <w:szCs w:val="28"/>
        </w:rPr>
      </w:pPr>
      <w:r>
        <w:rPr>
          <w:rFonts w:ascii="宋体" w:hAnsi="宋体" w:eastAsia="宋体" w:cs="宋体"/>
          <w:b/>
          <w:bCs/>
          <w:sz w:val="28"/>
          <w:szCs w:val="28"/>
        </w:rPr>
        <w:t xml:space="preserve">1.3.1 </w:t>
      </w:r>
      <w:r>
        <w:rPr>
          <w:rFonts w:hint="eastAsia" w:ascii="宋体" w:hAnsi="宋体" w:eastAsia="宋体" w:cs="宋体"/>
          <w:b/>
          <w:bCs/>
          <w:sz w:val="28"/>
          <w:szCs w:val="28"/>
        </w:rPr>
        <w:t>研究方法</w:t>
      </w:r>
    </w:p>
    <w:p>
      <w:pPr>
        <w:pStyle w:val="5"/>
        <w:widowControl/>
        <w:shd w:val="clear" w:color="auto" w:fill="FFFFFF"/>
        <w:spacing w:beforeAutospacing="0" w:afterAutospacing="0"/>
        <w:ind w:firstLine="560" w:firstLineChars="200"/>
        <w:jc w:val="both"/>
        <w:rPr>
          <w:rFonts w:ascii="宋体" w:hAnsi="宋体"/>
          <w:sz w:val="28"/>
          <w:szCs w:val="28"/>
        </w:rPr>
      </w:pPr>
      <w:r>
        <w:rPr>
          <w:rFonts w:ascii="宋体" w:hAnsi="宋体"/>
          <w:sz w:val="28"/>
          <w:szCs w:val="28"/>
        </w:rPr>
        <w:t>通过搜索PubMed、Cochrane、Embase、Web of Science、EBSCO、CNKI、VIP和万方数据库来确定相关研究。在PubMed/Cochrane和Embase中分别使用术语MeSH和Emtree进行检索。</w:t>
      </w:r>
    </w:p>
    <w:p>
      <w:pPr>
        <w:pStyle w:val="5"/>
        <w:widowControl/>
        <w:shd w:val="clear" w:color="auto" w:fill="FFFFFF"/>
        <w:spacing w:beforeAutospacing="0" w:afterAutospacing="0"/>
        <w:ind w:firstLine="562" w:firstLineChars="200"/>
        <w:jc w:val="both"/>
        <w:rPr>
          <w:rFonts w:ascii="宋体" w:hAnsi="宋体"/>
          <w:b/>
          <w:bCs/>
          <w:sz w:val="28"/>
          <w:szCs w:val="28"/>
        </w:rPr>
      </w:pPr>
      <w:r>
        <w:rPr>
          <w:rFonts w:hint="eastAsia" w:ascii="宋体" w:hAnsi="宋体"/>
          <w:b/>
          <w:bCs/>
          <w:sz w:val="28"/>
          <w:szCs w:val="28"/>
        </w:rPr>
        <w:t>1</w:t>
      </w:r>
      <w:r>
        <w:rPr>
          <w:rFonts w:ascii="宋体" w:hAnsi="宋体"/>
          <w:b/>
          <w:bCs/>
          <w:sz w:val="28"/>
          <w:szCs w:val="28"/>
        </w:rPr>
        <w:t xml:space="preserve">.3.1.1 </w:t>
      </w:r>
      <w:r>
        <w:rPr>
          <w:rFonts w:hint="eastAsia" w:ascii="宋体" w:hAnsi="宋体"/>
          <w:b/>
          <w:bCs/>
          <w:sz w:val="28"/>
          <w:szCs w:val="28"/>
        </w:rPr>
        <w:t>纳入和排除标准</w:t>
      </w:r>
    </w:p>
    <w:p>
      <w:pPr>
        <w:pStyle w:val="5"/>
        <w:widowControl/>
        <w:shd w:val="clear" w:color="auto" w:fill="FFFFFF"/>
        <w:spacing w:beforeAutospacing="0" w:afterAutospacing="0"/>
        <w:ind w:firstLine="560" w:firstLineChars="200"/>
        <w:jc w:val="both"/>
        <w:rPr>
          <w:rFonts w:ascii="Times New Roman" w:hAnsi="Times New Roman" w:eastAsia="宋体"/>
          <w:kern w:val="2"/>
          <w:sz w:val="28"/>
          <w:szCs w:val="28"/>
        </w:rPr>
      </w:pPr>
      <w:r>
        <w:rPr>
          <w:rFonts w:ascii="Times New Roman" w:hAnsi="Times New Roman" w:eastAsia="宋体"/>
          <w:kern w:val="2"/>
          <w:sz w:val="28"/>
          <w:szCs w:val="28"/>
        </w:rPr>
        <w:t>研究符合以下条件：（1）是RCTs实验；（2）包含青少年、中年人或老年人其中一类人群；（3）干预措施是普通有氧运动；（4）结果指标包括TG、TC、HDL、LDL、静息心率、VC、SBP、DBP、RPE、体重或BMI其中一种。重复发表的文章、文献综述、致编辑的信、发表在会议记录上的摘要和动物模型研究被排除在外。也排除了无法提供全文或原始数据的文章。</w:t>
      </w:r>
    </w:p>
    <w:p>
      <w:pPr>
        <w:pStyle w:val="5"/>
        <w:widowControl/>
        <w:shd w:val="clear" w:color="auto" w:fill="FFFFFF"/>
        <w:spacing w:beforeAutospacing="0" w:afterAutospacing="0"/>
        <w:ind w:firstLine="562" w:firstLineChars="200"/>
        <w:jc w:val="both"/>
        <w:rPr>
          <w:rFonts w:ascii="Times New Roman" w:hAnsi="Times New Roman" w:eastAsia="宋体"/>
          <w:b/>
          <w:bCs/>
          <w:kern w:val="2"/>
          <w:sz w:val="28"/>
          <w:szCs w:val="28"/>
        </w:rPr>
      </w:pPr>
      <w:r>
        <w:rPr>
          <w:rFonts w:hint="eastAsia" w:ascii="Times New Roman" w:hAnsi="Times New Roman" w:eastAsia="宋体"/>
          <w:b/>
          <w:bCs/>
          <w:kern w:val="2"/>
          <w:sz w:val="28"/>
          <w:szCs w:val="28"/>
        </w:rPr>
        <w:t>1</w:t>
      </w:r>
      <w:r>
        <w:rPr>
          <w:rFonts w:ascii="Times New Roman" w:hAnsi="Times New Roman" w:eastAsia="宋体"/>
          <w:b/>
          <w:bCs/>
          <w:kern w:val="2"/>
          <w:sz w:val="28"/>
          <w:szCs w:val="28"/>
        </w:rPr>
        <w:t xml:space="preserve">.3.1.2 </w:t>
      </w:r>
      <w:r>
        <w:rPr>
          <w:rFonts w:hint="eastAsia" w:ascii="Times New Roman" w:hAnsi="Times New Roman" w:eastAsia="宋体"/>
          <w:b/>
          <w:bCs/>
          <w:kern w:val="2"/>
          <w:sz w:val="28"/>
          <w:szCs w:val="28"/>
        </w:rPr>
        <w:t>数据提取与分析</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两位研究人员独立提取所有数据并汇编结果。在出现分歧的情况下，第三位研究人员进行了干预。如果文章中没有相关数据，我们与作者联系以获得原始数据。我们提取了以下信息：主要作者，发表年份；基线特征：年龄和实验组和对照组的人数；运动特征：类型、频率、持续时间和强度；以及报告的结果。我们根据Cochrane偏倚风险工具评估了纳入研究的偏倚风险，该工具包括七个不同的领域，具体如下。(1）分配的产生，（2）分配的隐蔽性，（3）参与者和人员的盲法，（4）结果评估的盲法，（5）处理的结果数据不完整，（6）自由形式的选择性报告偏差，（7）其他形式的偏差。</w:t>
      </w:r>
    </w:p>
    <w:p>
      <w:pPr>
        <w:pStyle w:val="5"/>
        <w:widowControl/>
        <w:shd w:val="clear" w:color="auto" w:fill="FFFFFF"/>
        <w:spacing w:beforeAutospacing="0" w:afterAutospacing="0"/>
        <w:ind w:firstLine="560" w:firstLineChars="200"/>
        <w:jc w:val="both"/>
        <w:rPr>
          <w:rFonts w:ascii="Times New Roman" w:hAnsi="Times New Roman" w:eastAsia="宋体"/>
          <w:kern w:val="2"/>
          <w:sz w:val="28"/>
          <w:szCs w:val="28"/>
        </w:rPr>
      </w:pPr>
      <w:bookmarkStart w:id="1" w:name="OLE_LINK36"/>
      <w:r>
        <w:rPr>
          <w:rFonts w:ascii="Times New Roman" w:hAnsi="Times New Roman" w:eastAsia="宋体"/>
          <w:kern w:val="2"/>
          <w:sz w:val="28"/>
          <w:szCs w:val="28"/>
        </w:rPr>
        <w:t>每个结果都以平均值和标准差（SD）表示。我们使用固定效应模型进行集合效应估计，考虑到研究之间的差异，并对每个研究进行相应的加权。研究之间的异质性由I²统计量和Cochran's Q检验来衡量。如果I²大于50%或Q检验的P值为0.10或更小，则表明存在异质性 通过检查漏斗图评估出版偏差。敏感性分析通过删除有偏倚风险的试验来测试汇总结果的稳健性。使用Review Manager软件5.3版或Stata软件15.0版对数据进行定量汇总分析。</w:t>
      </w:r>
      <w:bookmarkEnd w:id="1"/>
    </w:p>
    <w:p>
      <w:pPr>
        <w:pStyle w:val="5"/>
        <w:widowControl/>
        <w:shd w:val="clear" w:color="auto" w:fill="FFFFFF"/>
        <w:spacing w:beforeAutospacing="0" w:afterAutospacing="0"/>
        <w:ind w:firstLine="562" w:firstLineChars="200"/>
        <w:jc w:val="both"/>
        <w:rPr>
          <w:rFonts w:ascii="黑体" w:hAnsi="黑体" w:eastAsia="黑体"/>
          <w:b/>
          <w:bCs/>
          <w:kern w:val="2"/>
          <w:sz w:val="28"/>
          <w:szCs w:val="28"/>
        </w:rPr>
      </w:pPr>
      <w:r>
        <w:rPr>
          <w:rFonts w:hint="eastAsia" w:ascii="黑体" w:hAnsi="黑体" w:eastAsia="黑体"/>
          <w:b/>
          <w:bCs/>
          <w:kern w:val="2"/>
          <w:sz w:val="28"/>
          <w:szCs w:val="28"/>
        </w:rPr>
        <w:t>1</w:t>
      </w:r>
      <w:r>
        <w:rPr>
          <w:rFonts w:ascii="黑体" w:hAnsi="黑体" w:eastAsia="黑体"/>
          <w:b/>
          <w:bCs/>
          <w:kern w:val="2"/>
          <w:sz w:val="28"/>
          <w:szCs w:val="28"/>
        </w:rPr>
        <w:t xml:space="preserve">.3.2 </w:t>
      </w:r>
      <w:r>
        <w:rPr>
          <w:rFonts w:hint="eastAsia" w:ascii="黑体" w:hAnsi="黑体" w:eastAsia="黑体"/>
          <w:b/>
          <w:bCs/>
          <w:kern w:val="2"/>
          <w:sz w:val="28"/>
          <w:szCs w:val="28"/>
        </w:rPr>
        <w:t>研究结果</w:t>
      </w:r>
    </w:p>
    <w:p>
      <w:pPr>
        <w:ind w:firstLine="560" w:firstLineChars="200"/>
        <w:jc w:val="left"/>
        <w:rPr>
          <w:rFonts w:ascii="Times New Roman" w:hAnsi="Times New Roman" w:eastAsia="宋体" w:cs="Times New Roman"/>
          <w:sz w:val="28"/>
          <w:szCs w:val="28"/>
        </w:rPr>
      </w:pPr>
      <w:r>
        <w:rPr>
          <w:rFonts w:ascii="Times New Roman" w:hAnsi="Times New Roman" w:eastAsia="宋体" w:cs="Times New Roman"/>
          <w:sz w:val="28"/>
          <w:szCs w:val="28"/>
        </w:rPr>
        <w:t>共确定了4846篇可能符合条件的文章。在删除了重复的文章、评论和动物实验后，剩下3306篇文章供筛选。通过筛选标题和摘要，删除了3157篇文章，在获得和阅读全文后删除了107篇文章，剩下42篇用于定量综合，最后有42项研究被纳入了荟萃分析。</w:t>
      </w:r>
      <w:r>
        <w:rPr>
          <w:rFonts w:hint="eastAsia" w:ascii="Times New Roman" w:hAnsi="Times New Roman" w:eastAsia="宋体" w:cs="Times New Roman"/>
          <w:sz w:val="28"/>
          <w:szCs w:val="28"/>
        </w:rPr>
        <w:t>共有1613人被纳入实验组，1491人被纳入对照组。其中有5项研究涉及代谢性疾病患者，37项为非代谢性疾病。研究对象的年龄集中在20-80岁。选择了 "TC"、"TG"、"LDL-C"、"HDL-C"、"Glucose"、"SBP"、"DBP"、"Body Weight"、"LC"、"RHR "来研究不同人群、不同运动强度对生理效应的影响。</w:t>
      </w:r>
    </w:p>
    <w:p>
      <w:pPr>
        <w:ind w:firstLine="560" w:firstLineChars="20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通过不同运动强度的亚组分类，合并效应量后，得到不同运动强度与生理参数变化的关系。再根据人群等进行进一步亚组分析得到不同人群不同强度量效关系对照表。</w:t>
      </w:r>
    </w:p>
    <w:p>
      <w:pPr>
        <w:ind w:firstLine="560" w:firstLineChars="20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最后结合问卷调查、实验研究和m</w:t>
      </w:r>
      <w:r>
        <w:rPr>
          <w:rFonts w:ascii="Times New Roman" w:hAnsi="Times New Roman" w:eastAsia="宋体" w:cs="Times New Roman"/>
          <w:sz w:val="28"/>
          <w:szCs w:val="28"/>
        </w:rPr>
        <w:t>eta</w:t>
      </w:r>
      <w:r>
        <w:rPr>
          <w:rFonts w:hint="eastAsia" w:ascii="Times New Roman" w:hAnsi="Times New Roman" w:eastAsia="宋体" w:cs="Times New Roman"/>
          <w:sz w:val="28"/>
          <w:szCs w:val="28"/>
        </w:rPr>
        <w:t>分析，以运动强度作为桥梁，得到不同运动方式量效关系对照指南。</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与有关法律、行政法规和强制性国家标准的关系</w:t>
      </w:r>
    </w:p>
    <w:p>
      <w:pPr>
        <w:pStyle w:val="5"/>
        <w:widowControl/>
        <w:shd w:val="clear" w:color="auto" w:fill="FFFFFF"/>
        <w:spacing w:beforeAutospacing="0" w:afterAutospacing="0"/>
        <w:ind w:left="420"/>
        <w:jc w:val="both"/>
        <w:rPr>
          <w:rFonts w:ascii="黑体" w:hAnsi="黑体" w:eastAsia="黑体" w:cs="黑体"/>
          <w:color w:val="333333"/>
          <w:sz w:val="28"/>
          <w:szCs w:val="28"/>
          <w:shd w:val="clear" w:color="auto" w:fill="FFFFFF"/>
        </w:rPr>
      </w:pPr>
      <w:r>
        <w:rPr>
          <w:rFonts w:hint="eastAsia" w:ascii="黑体" w:hAnsi="黑体" w:eastAsia="黑体" w:cs="黑体"/>
          <w:color w:val="333333"/>
          <w:sz w:val="28"/>
          <w:szCs w:val="28"/>
          <w:shd w:val="clear" w:color="auto" w:fill="FFFFFF"/>
        </w:rPr>
        <w:t>无</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与国际标准化组织、其他国家或者地区有关法律法规和标准的比对分析</w:t>
      </w:r>
    </w:p>
    <w:p>
      <w:pPr>
        <w:pStyle w:val="5"/>
        <w:widowControl/>
        <w:shd w:val="clear" w:color="auto" w:fill="FFFFFF"/>
        <w:spacing w:beforeAutospacing="0" w:afterAutospacing="0"/>
        <w:ind w:left="420"/>
        <w:jc w:val="both"/>
        <w:rPr>
          <w:rFonts w:ascii="黑体" w:hAnsi="黑体" w:eastAsia="黑体" w:cs="黑体"/>
          <w:color w:val="333333"/>
          <w:sz w:val="28"/>
          <w:szCs w:val="28"/>
          <w:shd w:val="clear" w:color="auto" w:fill="FFFFFF"/>
        </w:rPr>
      </w:pPr>
      <w:r>
        <w:rPr>
          <w:rFonts w:hint="eastAsia" w:ascii="黑体" w:hAnsi="黑体" w:eastAsia="黑体" w:cs="黑体"/>
          <w:color w:val="333333"/>
          <w:sz w:val="28"/>
          <w:szCs w:val="28"/>
          <w:shd w:val="clear" w:color="auto" w:fill="FFFFFF"/>
        </w:rPr>
        <w:t>无</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重大分歧意见的处理过程、处理意见及其依据</w:t>
      </w:r>
    </w:p>
    <w:p>
      <w:pPr>
        <w:pStyle w:val="5"/>
        <w:widowControl/>
        <w:shd w:val="clear" w:color="auto" w:fill="FFFFFF"/>
        <w:spacing w:beforeAutospacing="0" w:afterAutospacing="0"/>
        <w:ind w:left="420"/>
        <w:jc w:val="both"/>
        <w:rPr>
          <w:rFonts w:ascii="黑体" w:hAnsi="黑体" w:eastAsia="黑体" w:cs="黑体"/>
          <w:color w:val="333333"/>
          <w:sz w:val="28"/>
          <w:szCs w:val="28"/>
          <w:shd w:val="clear" w:color="auto" w:fill="FFFFFF"/>
        </w:rPr>
      </w:pPr>
      <w:r>
        <w:rPr>
          <w:rFonts w:hint="eastAsia" w:ascii="黑体" w:hAnsi="黑体" w:eastAsia="黑体" w:cs="黑体"/>
          <w:color w:val="333333"/>
          <w:sz w:val="28"/>
          <w:szCs w:val="28"/>
          <w:shd w:val="clear" w:color="auto" w:fill="FFFFFF"/>
        </w:rPr>
        <w:t>无</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废止现行有关标准的建议</w:t>
      </w:r>
    </w:p>
    <w:p>
      <w:pPr>
        <w:pStyle w:val="5"/>
        <w:widowControl/>
        <w:shd w:val="clear" w:color="auto" w:fill="FFFFFF"/>
        <w:spacing w:beforeAutospacing="0" w:afterAutospacing="0"/>
        <w:ind w:left="420"/>
        <w:jc w:val="both"/>
        <w:rPr>
          <w:rFonts w:ascii="黑体" w:hAnsi="黑体" w:eastAsia="黑体" w:cs="黑体"/>
          <w:color w:val="333333"/>
          <w:sz w:val="28"/>
          <w:szCs w:val="28"/>
          <w:shd w:val="clear" w:color="auto" w:fill="FFFFFF"/>
        </w:rPr>
      </w:pPr>
      <w:r>
        <w:rPr>
          <w:rFonts w:hint="eastAsia" w:ascii="黑体" w:hAnsi="黑体" w:eastAsia="黑体" w:cs="黑体"/>
          <w:color w:val="333333"/>
          <w:sz w:val="28"/>
          <w:szCs w:val="28"/>
          <w:shd w:val="clear" w:color="auto" w:fill="FFFFFF"/>
        </w:rPr>
        <w:t>无</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涉及专利的有关说明</w:t>
      </w:r>
    </w:p>
    <w:p>
      <w:pPr>
        <w:pStyle w:val="5"/>
        <w:widowControl/>
        <w:shd w:val="clear" w:color="auto" w:fill="FFFFFF"/>
        <w:spacing w:beforeAutospacing="0" w:afterAutospacing="0"/>
        <w:ind w:left="420"/>
        <w:jc w:val="both"/>
        <w:rPr>
          <w:rFonts w:ascii="黑体" w:hAnsi="黑体" w:eastAsia="黑体" w:cs="黑体"/>
          <w:b/>
          <w:bCs/>
          <w:color w:val="333333"/>
          <w:sz w:val="28"/>
          <w:szCs w:val="28"/>
          <w:shd w:val="clear" w:color="auto" w:fill="FFFFFF"/>
        </w:rPr>
      </w:pPr>
      <w:r>
        <w:rPr>
          <w:rFonts w:hint="eastAsia" w:ascii="黑体" w:hAnsi="黑体" w:eastAsia="黑体" w:cs="黑体"/>
          <w:color w:val="333333"/>
          <w:sz w:val="28"/>
          <w:szCs w:val="28"/>
          <w:shd w:val="clear" w:color="auto" w:fill="FFFFFF"/>
        </w:rPr>
        <w:t>无</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 xml:space="preserve">宣贯及实施建议 </w:t>
      </w:r>
    </w:p>
    <w:p>
      <w:pPr>
        <w:pStyle w:val="5"/>
        <w:widowControl/>
        <w:shd w:val="clear" w:color="auto" w:fill="FFFFFF"/>
        <w:spacing w:beforeAutospacing="0" w:afterAutospacing="0"/>
        <w:ind w:left="420"/>
        <w:jc w:val="both"/>
        <w:rPr>
          <w:rFonts w:ascii="宋体" w:hAnsi="宋体" w:eastAsia="宋体" w:cs="黑体"/>
          <w:color w:val="333333"/>
          <w:sz w:val="28"/>
          <w:szCs w:val="28"/>
          <w:shd w:val="clear" w:color="auto" w:fill="FFFFFF"/>
        </w:rPr>
      </w:pPr>
      <w:r>
        <w:rPr>
          <w:rFonts w:hint="eastAsia" w:ascii="宋体" w:hAnsi="宋体" w:eastAsia="宋体" w:cs="黑体"/>
          <w:color w:val="333333"/>
          <w:sz w:val="28"/>
          <w:szCs w:val="28"/>
          <w:shd w:val="clear" w:color="auto" w:fill="FFFFFF"/>
        </w:rPr>
        <w:t>本标准为首次制订，可为运动健身者设定运动健身目标，更安全、有效、便捷地为运动健身者找到的不同运动方式运动量效关系；此外随着样本量的扩大，本标准中相关指标的参数也可能会随之发生变化。因此，建议在本标准实施过程中，继续广泛听取和收集各方面的意见与建议，并根据实际应用情况，对本标准进行不断地修订与完善，使其实用性和可操作性与时俱进，为规范进行 提供依据和指导。</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其他应当予以说明的事项</w:t>
      </w:r>
    </w:p>
    <w:p>
      <w:pPr>
        <w:pStyle w:val="5"/>
        <w:widowControl/>
        <w:shd w:val="clear" w:color="auto" w:fill="FFFFFF"/>
        <w:spacing w:beforeAutospacing="0" w:afterAutospacing="0"/>
        <w:ind w:left="420"/>
        <w:jc w:val="both"/>
        <w:rPr>
          <w:rFonts w:ascii="黑体" w:hAnsi="黑体" w:eastAsia="黑体" w:cs="黑体"/>
          <w:b/>
          <w:bCs/>
          <w:color w:val="333333"/>
          <w:sz w:val="28"/>
          <w:szCs w:val="28"/>
          <w:shd w:val="clear" w:color="auto" w:fill="FFFFFF"/>
        </w:rPr>
      </w:pPr>
      <w:r>
        <w:rPr>
          <w:rFonts w:hint="eastAsia" w:ascii="宋体" w:hAnsi="宋体" w:eastAsia="宋体" w:cs="Arial"/>
          <w:bCs/>
          <w:sz w:val="28"/>
          <w:szCs w:val="28"/>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85979"/>
    <w:multiLevelType w:val="singleLevel"/>
    <w:tmpl w:val="A3585979"/>
    <w:lvl w:ilvl="0" w:tentative="0">
      <w:start w:val="1"/>
      <w:numFmt w:val="chineseCounting"/>
      <w:suff w:val="nothing"/>
      <w:lvlText w:val="（%1）"/>
      <w:lvlJc w:val="left"/>
      <w:pPr>
        <w:ind w:left="0" w:firstLine="420"/>
      </w:pPr>
      <w:rPr>
        <w:rFonts w:hint="eastAsia"/>
      </w:rPr>
    </w:lvl>
  </w:abstractNum>
  <w:abstractNum w:abstractNumId="1">
    <w:nsid w:val="C9E2D14E"/>
    <w:multiLevelType w:val="singleLevel"/>
    <w:tmpl w:val="C9E2D14E"/>
    <w:lvl w:ilvl="0" w:tentative="0">
      <w:start w:val="1"/>
      <w:numFmt w:val="chineseCounting"/>
      <w:suff w:val="nothing"/>
      <w:lvlText w:val="%1、"/>
      <w:lvlJc w:val="left"/>
      <w:pPr>
        <w:ind w:left="0" w:firstLine="420"/>
      </w:pPr>
      <w:rPr>
        <w:rFonts w:hint="eastAsia"/>
      </w:rPr>
    </w:lvl>
  </w:abstractNum>
  <w:abstractNum w:abstractNumId="2">
    <w:nsid w:val="D438A424"/>
    <w:multiLevelType w:val="singleLevel"/>
    <w:tmpl w:val="D438A424"/>
    <w:lvl w:ilvl="0" w:tentative="0">
      <w:start w:val="1"/>
      <w:numFmt w:val="chineseCounting"/>
      <w:suff w:val="nothing"/>
      <w:lvlText w:val="（%1）"/>
      <w:lvlJc w:val="left"/>
      <w:pPr>
        <w:ind w:left="0" w:firstLine="420"/>
      </w:pPr>
      <w:rPr>
        <w:rFonts w:hint="eastAsia"/>
      </w:rPr>
    </w:lvl>
  </w:abstractNum>
  <w:abstractNum w:abstractNumId="3">
    <w:nsid w:val="0E75581E"/>
    <w:multiLevelType w:val="multilevel"/>
    <w:tmpl w:val="0E75581E"/>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6853B34"/>
    <w:multiLevelType w:val="multilevel"/>
    <w:tmpl w:val="36853B34"/>
    <w:lvl w:ilvl="0" w:tentative="0">
      <w:start w:val="5"/>
      <w:numFmt w:val="decimal"/>
      <w:lvlText w:val="（%1）"/>
      <w:lvlJc w:val="left"/>
      <w:pPr>
        <w:ind w:left="1152" w:hanging="732"/>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2MjJmMzY4ODU1NGYwZGQ3NWY1YjY0M2ExMzg2ODMifQ=="/>
  </w:docVars>
  <w:rsids>
    <w:rsidRoot w:val="00175DF1"/>
    <w:rsid w:val="0012017B"/>
    <w:rsid w:val="00135A98"/>
    <w:rsid w:val="001670D0"/>
    <w:rsid w:val="00175DF1"/>
    <w:rsid w:val="00250BA1"/>
    <w:rsid w:val="002F1724"/>
    <w:rsid w:val="00383064"/>
    <w:rsid w:val="00445228"/>
    <w:rsid w:val="004C4B82"/>
    <w:rsid w:val="004D6D34"/>
    <w:rsid w:val="0051427F"/>
    <w:rsid w:val="0055496C"/>
    <w:rsid w:val="00566EC7"/>
    <w:rsid w:val="00641756"/>
    <w:rsid w:val="00663AA9"/>
    <w:rsid w:val="006B337E"/>
    <w:rsid w:val="006D3D3C"/>
    <w:rsid w:val="007A74EF"/>
    <w:rsid w:val="007E1558"/>
    <w:rsid w:val="00857E63"/>
    <w:rsid w:val="009058DE"/>
    <w:rsid w:val="009B1058"/>
    <w:rsid w:val="00A41EFD"/>
    <w:rsid w:val="00A77D32"/>
    <w:rsid w:val="00D77625"/>
    <w:rsid w:val="00DF631C"/>
    <w:rsid w:val="00E26918"/>
    <w:rsid w:val="00EA7AE2"/>
    <w:rsid w:val="00EB00C7"/>
    <w:rsid w:val="00EB3D48"/>
    <w:rsid w:val="00EB4214"/>
    <w:rsid w:val="00F350D9"/>
    <w:rsid w:val="0F3D18B1"/>
    <w:rsid w:val="1D6A1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rFonts w:eastAsia="宋体"/>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paragraph" w:styleId="6">
    <w:name w:val="Title"/>
    <w:basedOn w:val="1"/>
    <w:next w:val="1"/>
    <w:link w:val="13"/>
    <w:qFormat/>
    <w:uiPriority w:val="10"/>
    <w:pPr>
      <w:spacing w:before="240" w:after="60" w:line="360" w:lineRule="auto"/>
      <w:outlineLvl w:val="0"/>
    </w:pPr>
    <w:rPr>
      <w:rFonts w:eastAsia="宋体" w:asciiTheme="majorHAnsi" w:hAnsiTheme="majorHAnsi" w:cstheme="majorBidi"/>
      <w:bCs/>
      <w:szCs w:val="32"/>
    </w:r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customStyle="1" w:styleId="11">
    <w:name w:val="列表段落1"/>
    <w:basedOn w:val="1"/>
    <w:qFormat/>
    <w:uiPriority w:val="34"/>
    <w:pPr>
      <w:ind w:firstLine="420" w:firstLineChars="200"/>
    </w:pPr>
  </w:style>
  <w:style w:type="paragraph" w:styleId="12">
    <w:name w:val="List Paragraph"/>
    <w:basedOn w:val="1"/>
    <w:uiPriority w:val="99"/>
    <w:pPr>
      <w:ind w:firstLine="420" w:firstLineChars="200"/>
    </w:pPr>
  </w:style>
  <w:style w:type="character" w:customStyle="1" w:styleId="13">
    <w:name w:val="标题 字符"/>
    <w:basedOn w:val="8"/>
    <w:link w:val="6"/>
    <w:qFormat/>
    <w:uiPriority w:val="10"/>
    <w:rPr>
      <w:rFonts w:asciiTheme="majorHAnsi" w:hAnsiTheme="majorHAnsi" w:cstheme="majorBidi"/>
      <w:bCs/>
      <w:kern w:val="2"/>
      <w:sz w:val="21"/>
      <w:szCs w:val="32"/>
    </w:rPr>
  </w:style>
  <w:style w:type="character" w:customStyle="1" w:styleId="14">
    <w:name w:val="批注框文本 字符"/>
    <w:basedOn w:val="8"/>
    <w:link w:val="2"/>
    <w:semiHidden/>
    <w:qFormat/>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4362</Words>
  <Characters>4897</Characters>
  <Lines>35</Lines>
  <Paragraphs>9</Paragraphs>
  <TotalTime>0</TotalTime>
  <ScaleCrop>false</ScaleCrop>
  <LinksUpToDate>false</LinksUpToDate>
  <CharactersWithSpaces>4954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2022-09-10T23:43:00Z</dcterms:created>
  <dc:creator>Lenovo User</dc:creator>
  <cp:lastModifiedBy>Administrator</cp:lastModifiedBy>
  <dcterms:modified xsi:type="dcterms:W3CDTF">2022-09-21T01:12:55Z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08849F57DEED46298B1647D7A46D14BB</vt:lpwstr>
  </property>
</Properties>
</file>