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30"/>
          <w:szCs w:val="30"/>
        </w:rPr>
      </w:pPr>
      <w:bookmarkStart w:id="0" w:name="_Hlk146447042"/>
      <w:r>
        <w:rPr>
          <w:rFonts w:hint="eastAsia" w:ascii="宋体" w:hAnsi="宋体"/>
          <w:sz w:val="30"/>
          <w:szCs w:val="30"/>
        </w:rPr>
        <w:t>附件2</w:t>
      </w:r>
    </w:p>
    <w:p>
      <w:pPr>
        <w:adjustRightInd w:val="0"/>
        <w:snapToGrid w:val="0"/>
        <w:spacing w:line="360" w:lineRule="auto"/>
        <w:jc w:val="center"/>
        <w:rPr>
          <w:rFonts w:ascii="宋体" w:hAnsi="宋体"/>
          <w:b/>
          <w:sz w:val="36"/>
          <w:szCs w:val="36"/>
        </w:rPr>
      </w:pPr>
      <w:bookmarkStart w:id="1" w:name="_GoBack"/>
      <w:r>
        <w:rPr>
          <w:rFonts w:hint="eastAsia" w:ascii="宋体" w:hAnsi="宋体"/>
          <w:b/>
          <w:sz w:val="36"/>
          <w:szCs w:val="36"/>
        </w:rPr>
        <w:t>中国体育科学学会团体</w:t>
      </w:r>
      <w:r>
        <w:rPr>
          <w:rFonts w:ascii="宋体" w:hAnsi="宋体"/>
          <w:b/>
          <w:sz w:val="36"/>
          <w:szCs w:val="36"/>
        </w:rPr>
        <w:t>标准</w:t>
      </w:r>
      <w:r>
        <w:rPr>
          <w:rFonts w:hint="eastAsia" w:ascii="宋体" w:hAnsi="宋体"/>
          <w:b/>
          <w:sz w:val="36"/>
          <w:szCs w:val="36"/>
        </w:rPr>
        <w:t>制修订</w:t>
      </w:r>
      <w:r>
        <w:rPr>
          <w:rFonts w:ascii="宋体" w:hAnsi="宋体"/>
          <w:b/>
          <w:sz w:val="36"/>
          <w:szCs w:val="36"/>
        </w:rPr>
        <w:t>工作程序</w:t>
      </w:r>
      <w:bookmarkEnd w:id="1"/>
    </w:p>
    <w:p>
      <w:pPr>
        <w:tabs>
          <w:tab w:val="center" w:pos="4156"/>
          <w:tab w:val="right" w:pos="8312"/>
        </w:tabs>
        <w:adjustRightInd w:val="0"/>
        <w:snapToGrid w:val="0"/>
        <w:spacing w:before="120" w:after="120" w:line="560" w:lineRule="exact"/>
        <w:jc w:val="left"/>
        <w:rPr>
          <w:rFonts w:ascii="宋体" w:hAnsi="宋体" w:cs="宋体"/>
          <w:b/>
          <w:bCs/>
          <w:sz w:val="28"/>
          <w:szCs w:val="28"/>
        </w:rPr>
      </w:pPr>
      <w:r>
        <w:rPr>
          <w:rFonts w:ascii="宋体" w:hAnsi="宋体" w:cs="宋体"/>
          <w:b/>
          <w:bCs/>
          <w:sz w:val="28"/>
          <w:szCs w:val="28"/>
        </w:rPr>
        <w:tab/>
      </w:r>
      <w:r>
        <w:rPr>
          <w:rFonts w:hint="eastAsia" w:ascii="宋体" w:hAnsi="宋体" w:cs="宋体"/>
          <w:b/>
          <w:sz w:val="28"/>
          <w:szCs w:val="28"/>
        </w:rPr>
        <w:t>第一章  总则</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为加强中国体育科学学会（以下简称</w:t>
      </w:r>
      <w:r>
        <w:rPr>
          <w:rFonts w:ascii="宋体" w:hAnsi="宋体" w:cs="宋体"/>
          <w:sz w:val="28"/>
          <w:szCs w:val="28"/>
        </w:rPr>
        <w:t>“</w:t>
      </w:r>
      <w:r>
        <w:rPr>
          <w:rFonts w:hint="eastAsia" w:ascii="宋体" w:hAnsi="宋体" w:cs="宋体"/>
          <w:sz w:val="28"/>
          <w:szCs w:val="28"/>
        </w:rPr>
        <w:t>学会</w:t>
      </w:r>
      <w:r>
        <w:rPr>
          <w:rFonts w:ascii="宋体" w:hAnsi="宋体" w:cs="宋体"/>
          <w:sz w:val="28"/>
          <w:szCs w:val="28"/>
        </w:rPr>
        <w:t>”</w:t>
      </w:r>
      <w:r>
        <w:rPr>
          <w:rFonts w:hint="eastAsia" w:ascii="宋体" w:hAnsi="宋体" w:cs="宋体"/>
          <w:sz w:val="28"/>
          <w:szCs w:val="28"/>
        </w:rPr>
        <w:t>）标准化管理工作，提高管理效能，根据</w:t>
      </w:r>
      <w:r>
        <w:rPr>
          <w:rFonts w:ascii="宋体" w:hAnsi="宋体" w:cs="宋体"/>
          <w:sz w:val="28"/>
          <w:szCs w:val="28"/>
        </w:rPr>
        <w:t>《</w:t>
      </w:r>
      <w:r>
        <w:rPr>
          <w:rFonts w:hint="eastAsia" w:ascii="宋体" w:hAnsi="宋体" w:cs="宋体"/>
          <w:sz w:val="28"/>
          <w:szCs w:val="28"/>
        </w:rPr>
        <w:t>中国体育科学学会团体标准管理办法</w:t>
      </w:r>
      <w:r>
        <w:rPr>
          <w:rFonts w:ascii="宋体" w:hAnsi="宋体" w:cs="宋体"/>
          <w:sz w:val="28"/>
          <w:szCs w:val="28"/>
        </w:rPr>
        <w:t>》</w:t>
      </w:r>
      <w:r>
        <w:rPr>
          <w:rFonts w:hint="eastAsia" w:ascii="宋体" w:hAnsi="宋体" w:cs="宋体"/>
          <w:sz w:val="28"/>
          <w:szCs w:val="28"/>
        </w:rPr>
        <w:t>，制定本工作程序。</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本工作程序由学会标准化工作委员会</w:t>
      </w:r>
      <w:r>
        <w:rPr>
          <w:rFonts w:ascii="宋体" w:hAnsi="宋体" w:cs="宋体"/>
          <w:sz w:val="28"/>
          <w:szCs w:val="28"/>
        </w:rPr>
        <w:t>秘书处</w:t>
      </w:r>
      <w:r>
        <w:rPr>
          <w:rFonts w:hint="eastAsia" w:ascii="宋体" w:hAnsi="宋体" w:cs="宋体"/>
          <w:sz w:val="28"/>
          <w:szCs w:val="28"/>
        </w:rPr>
        <w:t>（以下简称“</w:t>
      </w:r>
      <w:r>
        <w:rPr>
          <w:rFonts w:ascii="宋体" w:hAnsi="宋体" w:cs="宋体"/>
          <w:sz w:val="28"/>
          <w:szCs w:val="28"/>
        </w:rPr>
        <w:t>秘书处</w:t>
      </w:r>
      <w:r>
        <w:rPr>
          <w:rFonts w:hint="eastAsia" w:ascii="宋体" w:hAnsi="宋体" w:cs="宋体"/>
          <w:sz w:val="28"/>
          <w:szCs w:val="28"/>
        </w:rPr>
        <w:t>”）代表</w:t>
      </w:r>
      <w:r>
        <w:rPr>
          <w:rFonts w:ascii="宋体" w:hAnsi="宋体" w:cs="宋体"/>
          <w:sz w:val="28"/>
          <w:szCs w:val="28"/>
        </w:rPr>
        <w:t>学会标准</w:t>
      </w:r>
      <w:r>
        <w:rPr>
          <w:rFonts w:hint="eastAsia" w:ascii="宋体" w:hAnsi="宋体" w:cs="宋体"/>
          <w:sz w:val="28"/>
          <w:szCs w:val="28"/>
        </w:rPr>
        <w:t>化</w:t>
      </w:r>
      <w:r>
        <w:rPr>
          <w:rFonts w:ascii="宋体" w:hAnsi="宋体" w:cs="宋体"/>
          <w:sz w:val="28"/>
          <w:szCs w:val="28"/>
        </w:rPr>
        <w:t>工作委员会</w:t>
      </w:r>
      <w:r>
        <w:rPr>
          <w:rFonts w:hint="eastAsia" w:ascii="宋体" w:hAnsi="宋体" w:cs="宋体"/>
          <w:sz w:val="28"/>
          <w:szCs w:val="28"/>
        </w:rPr>
        <w:t>（以下</w:t>
      </w:r>
      <w:r>
        <w:rPr>
          <w:rFonts w:ascii="宋体" w:hAnsi="宋体" w:cs="宋体"/>
          <w:sz w:val="28"/>
          <w:szCs w:val="28"/>
        </w:rPr>
        <w:t>简称“</w:t>
      </w:r>
      <w:r>
        <w:rPr>
          <w:rFonts w:hint="eastAsia" w:ascii="宋体" w:hAnsi="宋体" w:cs="宋体"/>
          <w:sz w:val="28"/>
          <w:szCs w:val="28"/>
        </w:rPr>
        <w:t>标委会</w:t>
      </w:r>
      <w:r>
        <w:rPr>
          <w:rFonts w:ascii="宋体" w:hAnsi="宋体" w:cs="宋体"/>
          <w:sz w:val="28"/>
          <w:szCs w:val="28"/>
        </w:rPr>
        <w:t>”</w:t>
      </w:r>
      <w:r>
        <w:rPr>
          <w:rFonts w:hint="eastAsia" w:ascii="宋体" w:hAnsi="宋体" w:cs="宋体"/>
          <w:sz w:val="28"/>
          <w:szCs w:val="28"/>
        </w:rPr>
        <w:t>）负责组织实施。</w:t>
      </w: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第二章  组织机构和工作职责</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标委会负责团体标准的全面工作，包括但不限于：立项、征求意见、</w:t>
      </w:r>
      <w:r>
        <w:rPr>
          <w:rFonts w:hint="eastAsia" w:ascii="Times New Roman" w:hAnsi="Times New Roman" w:cs="宋体"/>
          <w:sz w:val="28"/>
          <w:szCs w:val="20"/>
        </w:rPr>
        <w:t>技术审查、报批、编号、出版、</w:t>
      </w:r>
      <w:r>
        <w:rPr>
          <w:rFonts w:hint="eastAsia" w:ascii="宋体" w:hAnsi="宋体" w:cs="宋体"/>
          <w:sz w:val="28"/>
          <w:szCs w:val="28"/>
        </w:rPr>
        <w:t>技术归口、</w:t>
      </w:r>
      <w:r>
        <w:rPr>
          <w:rFonts w:hint="eastAsia" w:ascii="Times New Roman" w:hAnsi="Times New Roman" w:cs="宋体"/>
          <w:sz w:val="28"/>
          <w:szCs w:val="20"/>
        </w:rPr>
        <w:t>复审、宣贯和实施情况评估</w:t>
      </w:r>
      <w:r>
        <w:rPr>
          <w:rFonts w:hint="eastAsia" w:ascii="宋体" w:hAnsi="宋体" w:cs="宋体"/>
          <w:sz w:val="28"/>
          <w:szCs w:val="28"/>
        </w:rPr>
        <w:t>，通过秘书处向学会及相关主管部门汇报工作。</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秘书处负责团体标准的日常沟通、协调、联络、组织等事务性工作。</w:t>
      </w: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第三章  标准的立项</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学会各分支机构、单位会员、委员，或者有标准需求的组织和个人均可发起标准提案，并提交立项申报书和标准草案，立项申报须附相应论证资料，标准草案的</w:t>
      </w:r>
      <w:r>
        <w:rPr>
          <w:rFonts w:hint="eastAsia" w:ascii="Times New Roman" w:hAnsi="Times New Roman" w:cs="宋体"/>
          <w:sz w:val="28"/>
          <w:szCs w:val="20"/>
        </w:rPr>
        <w:t>编写应符合GB/T 1.1</w:t>
      </w:r>
      <w:r>
        <w:rPr>
          <w:rFonts w:hint="eastAsia" w:ascii="Times New Roman" w:hAnsi="Times New Roman" w:cs="宋体"/>
          <w:sz w:val="28"/>
        </w:rPr>
        <w:t>—2020《标准化工作导则  第1部分：标准化文件的结构和起草规则》的要求</w:t>
      </w:r>
      <w:r>
        <w:rPr>
          <w:rFonts w:hint="eastAsia" w:ascii="宋体" w:hAnsi="宋体" w:cs="宋体"/>
          <w:sz w:val="28"/>
          <w:szCs w:val="28"/>
        </w:rPr>
        <w:t>。</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秘书处负责提案的收集、整理、汇总等工作，并</w:t>
      </w:r>
      <w:r>
        <w:rPr>
          <w:rFonts w:hint="eastAsia" w:ascii="Times New Roman" w:hAnsi="Times New Roman" w:cs="宋体"/>
          <w:sz w:val="28"/>
          <w:szCs w:val="20"/>
        </w:rPr>
        <w:t>组织有关专家对标准提案进行评审，专家优先从专家库里选取，专家不少于5人。可采用会审或函审两种方式进行评审，标准提案须获得3/4以上评审专家的同意，且获得3/4以上委员投票通过后方可立项。</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标准提案经过专家评审和委员投票通过后上报学会批准立项，并在学会网站和全国团体标准信息平台发布立项公告。</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对未通过的标准提案，由秘书处汇总评审专家组提出的修改或驳回意见，并反馈给申报单位。修改后的标准提案应重新提交立项申报材料，通过专家评审和委员投票后方可立项。</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根据</w:t>
      </w:r>
      <w:r>
        <w:rPr>
          <w:rFonts w:hint="eastAsia" w:ascii="Times New Roman" w:hAnsi="Times New Roman" w:cs="宋体"/>
          <w:sz w:val="28"/>
          <w:szCs w:val="20"/>
        </w:rPr>
        <w:t>市场需求、行业发展和创新引领</w:t>
      </w:r>
      <w:r>
        <w:rPr>
          <w:rFonts w:hint="eastAsia" w:ascii="宋体" w:hAnsi="宋体" w:cs="宋体"/>
          <w:sz w:val="28"/>
          <w:szCs w:val="28"/>
        </w:rPr>
        <w:t>需要，以及相关政府部门或企事业单位的委托，标委会可提出标准提案</w:t>
      </w:r>
      <w:r>
        <w:rPr>
          <w:rFonts w:hint="eastAsia" w:ascii="Times New Roman" w:hAnsi="Times New Roman" w:cs="宋体"/>
          <w:sz w:val="28"/>
        </w:rPr>
        <w:t>，提案</w:t>
      </w:r>
      <w:r>
        <w:rPr>
          <w:rFonts w:hint="eastAsia" w:ascii="Times New Roman" w:hAnsi="Times New Roman" w:cs="宋体"/>
          <w:sz w:val="28"/>
          <w:szCs w:val="20"/>
        </w:rPr>
        <w:t>获得3/4以上委员投票通过后</w:t>
      </w:r>
      <w:r>
        <w:rPr>
          <w:rFonts w:hint="eastAsia" w:ascii="Times New Roman" w:hAnsi="Times New Roman" w:cs="宋体"/>
          <w:sz w:val="28"/>
        </w:rPr>
        <w:t>直接立项，</w:t>
      </w:r>
      <w:r>
        <w:rPr>
          <w:rFonts w:hint="eastAsia" w:ascii="Times New Roman" w:hAnsi="Times New Roman"/>
          <w:sz w:val="28"/>
        </w:rPr>
        <w:t>并由标委会公开征集项目承担单位和参与单位。</w:t>
      </w:r>
    </w:p>
    <w:p>
      <w:pPr>
        <w:rPr>
          <w:rFonts w:ascii="Times New Roman" w:hAnsi="Times New Roman"/>
          <w:szCs w:val="24"/>
        </w:rPr>
      </w:pP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第四章  标准的编制</w:t>
      </w:r>
    </w:p>
    <w:p>
      <w:pPr>
        <w:numPr>
          <w:ilvl w:val="0"/>
          <w:numId w:val="1"/>
        </w:numPr>
        <w:rPr>
          <w:rFonts w:ascii="宋体" w:hAnsi="宋体" w:cs="宋体"/>
          <w:sz w:val="28"/>
          <w:szCs w:val="28"/>
        </w:rPr>
      </w:pPr>
      <w:r>
        <w:rPr>
          <w:rFonts w:hint="eastAsia" w:ascii="宋体" w:hAnsi="宋体" w:cs="宋体"/>
          <w:sz w:val="28"/>
          <w:szCs w:val="28"/>
        </w:rPr>
        <w:t>获得立项的标准，由标委会和标准主要起草单位负责组建标准起草组。</w:t>
      </w:r>
      <w:r>
        <w:rPr>
          <w:rFonts w:hint="eastAsia" w:ascii="Times New Roman" w:hAnsi="Times New Roman"/>
          <w:sz w:val="28"/>
        </w:rPr>
        <w:t>标准起草单位应不少于3家，包括但不限于生产者、经营者、使用者、公共利益相关方等。</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标准主要起草单位应当完成下列工作：</w:t>
      </w:r>
    </w:p>
    <w:p>
      <w:pPr>
        <w:rPr>
          <w:rFonts w:ascii="宋体" w:hAnsi="宋体" w:cs="宋体"/>
          <w:sz w:val="28"/>
          <w:szCs w:val="28"/>
        </w:rPr>
      </w:pPr>
      <w:r>
        <w:rPr>
          <w:rFonts w:hint="eastAsia" w:ascii="宋体" w:hAnsi="宋体" w:cs="宋体"/>
          <w:sz w:val="28"/>
          <w:szCs w:val="28"/>
        </w:rPr>
        <w:t>　　（一）批准立项一个月内制定具体的标准起草计划；</w:t>
      </w:r>
    </w:p>
    <w:p>
      <w:pPr>
        <w:rPr>
          <w:rFonts w:ascii="宋体" w:hAnsi="宋体" w:cs="宋体"/>
          <w:sz w:val="28"/>
          <w:szCs w:val="28"/>
        </w:rPr>
      </w:pPr>
      <w:r>
        <w:rPr>
          <w:rFonts w:hint="eastAsia" w:ascii="宋体" w:hAnsi="宋体" w:cs="宋体"/>
          <w:sz w:val="28"/>
          <w:szCs w:val="28"/>
        </w:rPr>
        <w:t>　　（二）督促标准起草组按照计划完成标准起草工作；</w:t>
      </w:r>
    </w:p>
    <w:p>
      <w:pPr>
        <w:ind w:firstLine="560"/>
        <w:rPr>
          <w:rFonts w:ascii="宋体" w:hAnsi="宋体" w:cs="宋体"/>
          <w:sz w:val="28"/>
          <w:szCs w:val="28"/>
        </w:rPr>
      </w:pPr>
      <w:r>
        <w:rPr>
          <w:rFonts w:hint="eastAsia" w:ascii="宋体" w:hAnsi="宋体" w:cs="宋体"/>
          <w:sz w:val="28"/>
          <w:szCs w:val="28"/>
        </w:rPr>
        <w:t>（三）落实标准起草经费，提供必要的工作条件，与学会签订标准项目合同；</w:t>
      </w:r>
    </w:p>
    <w:p>
      <w:pPr>
        <w:ind w:firstLine="560"/>
        <w:rPr>
          <w:rFonts w:ascii="宋体" w:hAnsi="宋体" w:cs="宋体"/>
          <w:sz w:val="28"/>
          <w:szCs w:val="28"/>
        </w:rPr>
      </w:pPr>
      <w:r>
        <w:rPr>
          <w:rFonts w:hint="eastAsia" w:ascii="宋体" w:hAnsi="宋体" w:cs="宋体"/>
          <w:sz w:val="28"/>
          <w:szCs w:val="28"/>
        </w:rPr>
        <w:t>（四）协助标委会完成标准的征求意见、送审和报批等工作；</w:t>
      </w:r>
    </w:p>
    <w:p>
      <w:pPr>
        <w:ind w:firstLine="560"/>
        <w:rPr>
          <w:rFonts w:ascii="宋体" w:hAnsi="宋体" w:cs="宋体"/>
          <w:sz w:val="28"/>
          <w:szCs w:val="28"/>
        </w:rPr>
      </w:pPr>
      <w:r>
        <w:rPr>
          <w:rFonts w:hint="eastAsia" w:ascii="宋体" w:hAnsi="宋体" w:cs="宋体"/>
          <w:sz w:val="28"/>
          <w:szCs w:val="28"/>
        </w:rPr>
        <w:t>（五）其他应当由标准主要起草单位承担的工作。</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标准起草组按照要求完成标准预审稿的编制工作。秘书处组织对标准预审稿进行审核，必要时可召开专家预审会。预审内容包括：</w:t>
      </w:r>
    </w:p>
    <w:p>
      <w:pPr>
        <w:rPr>
          <w:rFonts w:ascii="宋体" w:hAnsi="宋体" w:cs="宋体"/>
          <w:sz w:val="28"/>
          <w:szCs w:val="28"/>
        </w:rPr>
      </w:pPr>
      <w:r>
        <w:rPr>
          <w:rFonts w:hint="eastAsia" w:ascii="宋体" w:hAnsi="宋体" w:cs="宋体"/>
          <w:sz w:val="28"/>
          <w:szCs w:val="28"/>
        </w:rPr>
        <w:t>　　（一）标准内容的合法性；</w:t>
      </w:r>
    </w:p>
    <w:p>
      <w:pPr>
        <w:rPr>
          <w:rFonts w:ascii="宋体" w:hAnsi="宋体" w:cs="宋体"/>
          <w:sz w:val="28"/>
          <w:szCs w:val="28"/>
        </w:rPr>
      </w:pPr>
      <w:r>
        <w:rPr>
          <w:rFonts w:hint="eastAsia" w:ascii="宋体" w:hAnsi="宋体" w:cs="宋体"/>
          <w:sz w:val="28"/>
          <w:szCs w:val="28"/>
        </w:rPr>
        <w:t>　　（二）标准内容是否符合团体标准的定位；</w:t>
      </w:r>
    </w:p>
    <w:p>
      <w:pPr>
        <w:rPr>
          <w:rFonts w:ascii="宋体" w:hAnsi="宋体" w:cs="宋体"/>
          <w:sz w:val="28"/>
          <w:szCs w:val="28"/>
        </w:rPr>
      </w:pPr>
      <w:r>
        <w:rPr>
          <w:rFonts w:hint="eastAsia" w:ascii="宋体" w:hAnsi="宋体" w:cs="宋体"/>
          <w:sz w:val="28"/>
          <w:szCs w:val="28"/>
        </w:rPr>
        <w:t>　　（三）标准内容是否与立项计划协调一致；</w:t>
      </w:r>
    </w:p>
    <w:p>
      <w:pPr>
        <w:rPr>
          <w:rFonts w:ascii="宋体" w:hAnsi="宋体" w:cs="宋体"/>
          <w:sz w:val="28"/>
          <w:szCs w:val="28"/>
        </w:rPr>
      </w:pPr>
      <w:r>
        <w:rPr>
          <w:rFonts w:hint="eastAsia" w:ascii="宋体" w:hAnsi="宋体" w:cs="宋体"/>
          <w:sz w:val="28"/>
          <w:szCs w:val="28"/>
        </w:rPr>
        <w:t>　　（四）标准是否与现行有效的国家标准、行业标准相协调；</w:t>
      </w:r>
    </w:p>
    <w:p>
      <w:pPr>
        <w:rPr>
          <w:rFonts w:ascii="宋体" w:hAnsi="宋体" w:cs="宋体"/>
          <w:sz w:val="28"/>
          <w:szCs w:val="28"/>
        </w:rPr>
      </w:pPr>
      <w:r>
        <w:rPr>
          <w:rFonts w:hint="eastAsia" w:ascii="宋体" w:hAnsi="宋体" w:cs="宋体"/>
          <w:sz w:val="28"/>
          <w:szCs w:val="28"/>
        </w:rPr>
        <w:t>　　（五）标准是否结构合理、内容完整，格式符合GB/T 1.1的要求；</w:t>
      </w:r>
    </w:p>
    <w:p>
      <w:pPr>
        <w:rPr>
          <w:rFonts w:ascii="宋体" w:hAnsi="宋体" w:cs="宋体"/>
          <w:sz w:val="28"/>
          <w:szCs w:val="28"/>
        </w:rPr>
      </w:pPr>
      <w:r>
        <w:rPr>
          <w:rFonts w:hint="eastAsia" w:ascii="宋体" w:hAnsi="宋体" w:cs="宋体"/>
          <w:sz w:val="28"/>
          <w:szCs w:val="28"/>
        </w:rPr>
        <w:t>　　（六）标准技术内容的科学性、合理性和可操作性；</w:t>
      </w:r>
    </w:p>
    <w:p>
      <w:pPr>
        <w:rPr>
          <w:rFonts w:ascii="宋体" w:hAnsi="宋体" w:cs="宋体"/>
          <w:sz w:val="28"/>
          <w:szCs w:val="28"/>
        </w:rPr>
      </w:pPr>
      <w:r>
        <w:rPr>
          <w:rFonts w:hint="eastAsia" w:ascii="宋体" w:hAnsi="宋体" w:cs="宋体"/>
          <w:sz w:val="28"/>
          <w:szCs w:val="28"/>
        </w:rPr>
        <w:t>　　（七）标准是否已与相关部门进行协调并达成一致意见；</w:t>
      </w:r>
    </w:p>
    <w:p>
      <w:pPr>
        <w:rPr>
          <w:rFonts w:ascii="宋体" w:hAnsi="宋体" w:cs="宋体"/>
          <w:sz w:val="28"/>
          <w:szCs w:val="28"/>
        </w:rPr>
      </w:pPr>
      <w:r>
        <w:rPr>
          <w:rFonts w:hint="eastAsia" w:ascii="宋体" w:hAnsi="宋体" w:cs="宋体"/>
          <w:sz w:val="28"/>
          <w:szCs w:val="28"/>
        </w:rPr>
        <w:t>　　（八）编制说明内容是否完整。</w:t>
      </w:r>
    </w:p>
    <w:p>
      <w:pPr>
        <w:ind w:firstLine="560" w:firstLineChars="200"/>
        <w:rPr>
          <w:rFonts w:ascii="宋体" w:hAnsi="宋体" w:cs="宋体"/>
          <w:sz w:val="28"/>
          <w:szCs w:val="28"/>
        </w:rPr>
      </w:pPr>
      <w:r>
        <w:rPr>
          <w:rFonts w:hint="eastAsia" w:ascii="宋体" w:hAnsi="宋体" w:cs="宋体"/>
          <w:sz w:val="28"/>
          <w:szCs w:val="28"/>
        </w:rPr>
        <w:t>召开预审会的标准须获得3/4以上预审专家的同意后方可公开征求意见。</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标准起草组应根据预审意见编制标准征求意见材料，标准征求意见材料</w:t>
      </w:r>
      <w:r>
        <w:rPr>
          <w:rFonts w:hint="eastAsia" w:ascii="Times New Roman" w:hAnsi="Times New Roman" w:cs="宋体"/>
          <w:sz w:val="28"/>
          <w:szCs w:val="20"/>
        </w:rPr>
        <w:t>应当包括标准文本、编制说明及有关附件等文件</w:t>
      </w:r>
      <w:r>
        <w:rPr>
          <w:rFonts w:hint="eastAsia" w:ascii="宋体" w:hAnsi="宋体" w:cs="宋体"/>
          <w:sz w:val="28"/>
          <w:szCs w:val="28"/>
        </w:rPr>
        <w:t>。</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编制说明一般包括下列内容：</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（一）工作简况，包括任务来源、制定背景、起草过程等；</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（二）标准编制原则、主要内容及其确定依据，修订标准时，还包括修订前后技术内容的对比；</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（三）试验验证的分析、综述报告，技术经济论证，预期的经济效益、社会效益和生态效益；</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（四）与国际、国外同类标准技术内容的对比情况，或者与测试的国外样品、样机的有关数据对比情况；</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（五）以国际标准为基础的起草情况，以及是否合规引用或者采用国际国外标准，并说明未采用国际标准的原因；</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（六）与有关法律、行政法规及相关标准的关系；</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（七）重大分歧意见的处理经过和依据；</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（八）涉及专利的有关说明；</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（九）实施标准的要求，以及组织措施、技术措施、过渡期和实施日期的建议等措施建议；</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（十）其他应当说明的事项。</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秘书处收到标准起草组提交的标准征求意见材料后，</w:t>
      </w:r>
      <w:r>
        <w:rPr>
          <w:rFonts w:hint="eastAsia" w:ascii="Times New Roman" w:hAnsi="Times New Roman" w:cs="宋体"/>
          <w:sz w:val="28"/>
          <w:szCs w:val="20"/>
        </w:rPr>
        <w:t>应广泛地向相关的生产、消费、管理、研究、检验检测等领域公开征求意见</w:t>
      </w:r>
      <w:r>
        <w:rPr>
          <w:rFonts w:hint="eastAsia" w:ascii="宋体" w:hAnsi="宋体" w:cs="宋体"/>
          <w:sz w:val="28"/>
          <w:szCs w:val="28"/>
        </w:rPr>
        <w:t>。</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标准征求意见可以采取会议、书面、网上公示等多种形式。征求意见时间一般不少于30日。</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被征求意见的单位需要在规定期限内回复意见，涉及修改重要技术指标时，应附上必要的技术数据，逾期未复函的按无异议处理。</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标准起草组对所有征集的意见进行归纳整理、分析研究、协调处理后，</w:t>
      </w:r>
      <w:r>
        <w:rPr>
          <w:rFonts w:hint="eastAsia" w:ascii="Times New Roman" w:hAnsi="Times New Roman" w:cs="宋体"/>
          <w:sz w:val="28"/>
          <w:szCs w:val="20"/>
        </w:rPr>
        <w:t>填写“征求意见汇总处理表”，确定采纳、部分采纳或不采纳，</w:t>
      </w:r>
      <w:r>
        <w:rPr>
          <w:rFonts w:hint="eastAsia" w:ascii="宋体" w:hAnsi="宋体" w:cs="宋体"/>
          <w:sz w:val="28"/>
          <w:szCs w:val="28"/>
        </w:rPr>
        <w:t>部分采纳或不采纳的意见应充分说明未采纳的理由。</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标准起草组应根据标准征求意见情况</w:t>
      </w:r>
      <w:r>
        <w:rPr>
          <w:rFonts w:hint="eastAsia" w:ascii="Times New Roman" w:hAnsi="Times New Roman" w:cs="宋体"/>
          <w:sz w:val="28"/>
          <w:szCs w:val="20"/>
        </w:rPr>
        <w:t>对标准征求意见稿进行修改，</w:t>
      </w:r>
      <w:r>
        <w:rPr>
          <w:rFonts w:hint="eastAsia" w:ascii="宋体" w:hAnsi="宋体" w:cs="宋体"/>
          <w:sz w:val="28"/>
          <w:szCs w:val="28"/>
        </w:rPr>
        <w:t>形成标准送审材料。标准送审材料</w:t>
      </w:r>
      <w:r>
        <w:rPr>
          <w:rFonts w:hint="eastAsia" w:ascii="Times New Roman" w:hAnsi="Times New Roman" w:cs="宋体"/>
          <w:sz w:val="28"/>
          <w:szCs w:val="20"/>
        </w:rPr>
        <w:t>应当包括标准文本、编制说明、征求意见汇总处理表及有关附件等文件</w:t>
      </w:r>
      <w:r>
        <w:rPr>
          <w:rFonts w:hint="eastAsia" w:ascii="宋体" w:hAnsi="宋体" w:cs="宋体"/>
          <w:sz w:val="28"/>
          <w:szCs w:val="28"/>
        </w:rPr>
        <w:t>。</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秘书处收到标准送审材料后组织对材料进行初审。初审通过后，标委会组建标准审查组并组织召开技术审查会。审查组</w:t>
      </w:r>
      <w:r>
        <w:rPr>
          <w:rFonts w:hint="eastAsia" w:ascii="Times New Roman" w:hAnsi="Times New Roman" w:cs="宋体"/>
          <w:sz w:val="28"/>
          <w:szCs w:val="20"/>
        </w:rPr>
        <w:t>专家优先从专家库里选取，</w:t>
      </w:r>
      <w:r>
        <w:rPr>
          <w:rFonts w:hint="eastAsia" w:ascii="宋体" w:hAnsi="宋体" w:cs="宋体"/>
          <w:sz w:val="28"/>
          <w:szCs w:val="28"/>
        </w:rPr>
        <w:t>专家数量不少于5人。</w:t>
      </w:r>
      <w:r>
        <w:rPr>
          <w:rFonts w:hint="eastAsia" w:ascii="Times New Roman" w:hAnsi="Times New Roman" w:cs="宋体"/>
          <w:sz w:val="28"/>
          <w:szCs w:val="20"/>
        </w:rPr>
        <w:t>技术审查原则上应当协商一致。如需表决，</w:t>
      </w:r>
      <w:r>
        <w:rPr>
          <w:rFonts w:hint="eastAsia" w:ascii="宋体" w:hAnsi="宋体" w:cs="宋体"/>
          <w:sz w:val="28"/>
          <w:szCs w:val="28"/>
        </w:rPr>
        <w:t>须有3/4以上审查专家同意方为通过。起草人及其所在单位的专家不能参加表决。</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秘书处应当于技术审查会前将标准送审材料提交给审查组专家。</w:t>
      </w:r>
      <w:r>
        <w:rPr>
          <w:rFonts w:hint="eastAsia" w:ascii="Times New Roman" w:hAnsi="Times New Roman" w:cs="宋体"/>
          <w:sz w:val="28"/>
          <w:szCs w:val="20"/>
        </w:rPr>
        <w:t>审查会上，审查组专家听取主要起草人介绍标准起草过程、标准主要内容的确定依据、重大分歧意见的处理情况，专家应对标准送审材料进行审查，并对标准文本逐条进行审定。</w:t>
      </w:r>
      <w:r>
        <w:rPr>
          <w:rFonts w:hint="eastAsia" w:ascii="宋体" w:hAnsi="宋体" w:cs="宋体"/>
          <w:sz w:val="28"/>
          <w:szCs w:val="28"/>
        </w:rPr>
        <w:t>审查内容包括：</w:t>
      </w:r>
    </w:p>
    <w:p>
      <w:pPr>
        <w:rPr>
          <w:rFonts w:ascii="宋体" w:hAnsi="宋体" w:cs="宋体"/>
          <w:sz w:val="28"/>
          <w:szCs w:val="28"/>
        </w:rPr>
      </w:pPr>
      <w:r>
        <w:rPr>
          <w:rFonts w:hint="eastAsia" w:ascii="宋体" w:hAnsi="宋体" w:cs="宋体"/>
          <w:sz w:val="28"/>
          <w:szCs w:val="28"/>
        </w:rPr>
        <w:t>　　（一）标准是否达到立项的需求与目的；</w:t>
      </w:r>
    </w:p>
    <w:p>
      <w:pPr>
        <w:rPr>
          <w:rFonts w:ascii="宋体" w:hAnsi="宋体" w:cs="宋体"/>
          <w:sz w:val="28"/>
          <w:szCs w:val="28"/>
        </w:rPr>
      </w:pPr>
      <w:r>
        <w:rPr>
          <w:rFonts w:hint="eastAsia" w:ascii="宋体" w:hAnsi="宋体" w:cs="宋体"/>
          <w:sz w:val="28"/>
          <w:szCs w:val="28"/>
        </w:rPr>
        <w:t>　　（二）标准内容是否符合国家有关法律、法规、规章和强制性标准的规定，是否与相关国家标准、行业标准相协调；</w:t>
      </w:r>
    </w:p>
    <w:p>
      <w:pPr>
        <w:rPr>
          <w:rFonts w:ascii="宋体" w:hAnsi="宋体" w:cs="宋体"/>
          <w:sz w:val="28"/>
          <w:szCs w:val="28"/>
        </w:rPr>
      </w:pPr>
      <w:r>
        <w:rPr>
          <w:rFonts w:hint="eastAsia" w:ascii="宋体" w:hAnsi="宋体" w:cs="宋体"/>
          <w:sz w:val="28"/>
          <w:szCs w:val="28"/>
        </w:rPr>
        <w:t>　　（三）标准的重大意见分歧的处理情况，标准相关各方意见是否协调一致；</w:t>
      </w:r>
    </w:p>
    <w:p>
      <w:pPr>
        <w:rPr>
          <w:rFonts w:ascii="宋体" w:hAnsi="宋体" w:cs="宋体"/>
          <w:sz w:val="28"/>
          <w:szCs w:val="28"/>
        </w:rPr>
      </w:pPr>
      <w:r>
        <w:rPr>
          <w:rFonts w:hint="eastAsia" w:ascii="宋体" w:hAnsi="宋体" w:cs="宋体"/>
          <w:sz w:val="28"/>
          <w:szCs w:val="28"/>
        </w:rPr>
        <w:t>　　（四）标准结构是否完整、清晰；</w:t>
      </w:r>
    </w:p>
    <w:p>
      <w:pPr>
        <w:rPr>
          <w:rFonts w:ascii="宋体" w:hAnsi="宋体" w:cs="宋体"/>
          <w:sz w:val="28"/>
          <w:szCs w:val="28"/>
        </w:rPr>
      </w:pPr>
      <w:r>
        <w:rPr>
          <w:rFonts w:hint="eastAsia" w:ascii="宋体" w:hAnsi="宋体" w:cs="宋体"/>
          <w:sz w:val="28"/>
          <w:szCs w:val="28"/>
        </w:rPr>
        <w:t>　　（五）标准技术内容的科学性、合理性和可操作性；</w:t>
      </w:r>
    </w:p>
    <w:p>
      <w:pPr>
        <w:rPr>
          <w:rFonts w:ascii="宋体" w:hAnsi="宋体" w:cs="宋体"/>
          <w:sz w:val="28"/>
          <w:szCs w:val="28"/>
        </w:rPr>
      </w:pPr>
      <w:r>
        <w:rPr>
          <w:rFonts w:hint="eastAsia" w:ascii="宋体" w:hAnsi="宋体" w:cs="宋体"/>
          <w:sz w:val="28"/>
          <w:szCs w:val="28"/>
        </w:rPr>
        <w:t>　　（六）文本编写的规范性；</w:t>
      </w:r>
    </w:p>
    <w:p>
      <w:pPr>
        <w:ind w:firstLine="560"/>
        <w:rPr>
          <w:rFonts w:ascii="宋体" w:hAnsi="宋体" w:cs="宋体"/>
          <w:sz w:val="28"/>
          <w:szCs w:val="28"/>
        </w:rPr>
      </w:pPr>
      <w:r>
        <w:rPr>
          <w:rFonts w:hint="eastAsia" w:ascii="宋体" w:hAnsi="宋体" w:cs="宋体"/>
          <w:sz w:val="28"/>
          <w:szCs w:val="28"/>
        </w:rPr>
        <w:t>（七）制定程序的合规性；</w:t>
      </w:r>
    </w:p>
    <w:p>
      <w:pPr>
        <w:ind w:firstLine="560"/>
        <w:rPr>
          <w:rFonts w:ascii="宋体" w:hAnsi="宋体" w:cs="宋体"/>
          <w:sz w:val="28"/>
          <w:szCs w:val="28"/>
        </w:rPr>
      </w:pPr>
      <w:r>
        <w:rPr>
          <w:rFonts w:hint="eastAsia" w:ascii="宋体" w:hAnsi="宋体" w:cs="宋体"/>
          <w:sz w:val="28"/>
          <w:szCs w:val="28"/>
        </w:rPr>
        <w:t>（八）需要时，可对标准技术内容的先进性进行评价。</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审查会应形成会议纪要，会议纪要包括但不限于以下内容：标准名称、计划号；会议组织单位；会议时间、地点；参加审查会的单位和人员名单；审查专家对标准的评价；会议确定的主要修改意见；实质性分歧意见的协调处理意见，包括计划名称变化、起草单位变化等情况；明确审查会结论或投票情况，并由审查组长代表审查组签字，附审查专家签字表决表。审查会结论包括审查通过、审查不通过。</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通过审查的标准，标准起草组应在审查会后一个月内根据审查意见对标准送审材料做必要的修改，形成报批材料提交秘书处。报批材料包括：</w:t>
      </w:r>
    </w:p>
    <w:p>
      <w:pPr>
        <w:spacing w:line="480" w:lineRule="atLeast"/>
        <w:textAlignment w:val="baseline"/>
        <w:rPr>
          <w:rFonts w:ascii="宋体" w:hAnsi="宋体" w:cs="宋体"/>
          <w:sz w:val="28"/>
          <w:szCs w:val="28"/>
        </w:rPr>
      </w:pPr>
      <w:r>
        <w:rPr>
          <w:rFonts w:hint="eastAsia" w:ascii="宋体" w:hAnsi="宋体" w:cs="宋体"/>
          <w:sz w:val="28"/>
          <w:szCs w:val="28"/>
        </w:rPr>
        <w:t>　　（一）报批标准的公文；</w:t>
      </w:r>
    </w:p>
    <w:p>
      <w:pPr>
        <w:spacing w:line="480" w:lineRule="atLeast"/>
        <w:textAlignment w:val="baseline"/>
        <w:rPr>
          <w:rFonts w:ascii="宋体" w:hAnsi="宋体" w:cs="宋体"/>
          <w:sz w:val="28"/>
          <w:szCs w:val="28"/>
        </w:rPr>
      </w:pPr>
      <w:r>
        <w:rPr>
          <w:rFonts w:hint="eastAsia" w:ascii="宋体" w:hAnsi="宋体" w:cs="宋体"/>
          <w:sz w:val="28"/>
          <w:szCs w:val="28"/>
        </w:rPr>
        <w:t>　　（二）标准报批稿电子文本（Word版和PDF版）；</w:t>
      </w:r>
    </w:p>
    <w:p>
      <w:pPr>
        <w:spacing w:line="480" w:lineRule="atLeast"/>
        <w:textAlignment w:val="baseline"/>
        <w:rPr>
          <w:rFonts w:ascii="宋体" w:hAnsi="宋体" w:cs="宋体"/>
          <w:sz w:val="28"/>
          <w:szCs w:val="28"/>
        </w:rPr>
      </w:pPr>
      <w:r>
        <w:rPr>
          <w:rFonts w:hint="eastAsia" w:ascii="宋体" w:hAnsi="宋体" w:cs="宋体"/>
          <w:sz w:val="28"/>
          <w:szCs w:val="28"/>
        </w:rPr>
        <w:t>　　（三）标准编制说明电子文本（Word版和PDF版）；</w:t>
      </w:r>
    </w:p>
    <w:p>
      <w:pPr>
        <w:spacing w:line="480" w:lineRule="atLeast"/>
        <w:textAlignment w:val="baseline"/>
        <w:rPr>
          <w:rFonts w:ascii="宋体" w:hAnsi="宋体" w:cs="宋体"/>
          <w:sz w:val="28"/>
          <w:szCs w:val="28"/>
        </w:rPr>
      </w:pPr>
      <w:r>
        <w:rPr>
          <w:rFonts w:hint="eastAsia" w:ascii="宋体" w:hAnsi="宋体" w:cs="宋体"/>
          <w:sz w:val="28"/>
          <w:szCs w:val="28"/>
        </w:rPr>
        <w:t>　　（四）标准解读稿电子文本（Word版和PDF版）；</w:t>
      </w:r>
    </w:p>
    <w:p>
      <w:pPr>
        <w:spacing w:line="480" w:lineRule="atLeast"/>
        <w:textAlignment w:val="baseline"/>
        <w:rPr>
          <w:rFonts w:ascii="宋体" w:hAnsi="宋体" w:cs="宋体"/>
          <w:sz w:val="28"/>
          <w:szCs w:val="28"/>
        </w:rPr>
      </w:pPr>
      <w:r>
        <w:rPr>
          <w:rFonts w:hint="eastAsia" w:ascii="宋体" w:hAnsi="宋体" w:cs="宋体"/>
          <w:sz w:val="28"/>
          <w:szCs w:val="28"/>
        </w:rPr>
        <w:t>　　（五）征求意见汇总处理表；</w:t>
      </w:r>
    </w:p>
    <w:p>
      <w:pPr>
        <w:spacing w:line="480" w:lineRule="atLeast"/>
        <w:ind w:firstLine="560"/>
        <w:textAlignment w:val="baseline"/>
        <w:rPr>
          <w:rFonts w:ascii="宋体" w:hAnsi="宋体" w:cs="宋体"/>
          <w:sz w:val="28"/>
          <w:szCs w:val="28"/>
        </w:rPr>
      </w:pPr>
      <w:r>
        <w:rPr>
          <w:rFonts w:hint="eastAsia" w:ascii="宋体" w:hAnsi="宋体" w:cs="宋体"/>
          <w:sz w:val="28"/>
          <w:szCs w:val="28"/>
        </w:rPr>
        <w:t>（六）标准审查会议纪要及审查专家签字表决表（原件）；</w:t>
      </w:r>
    </w:p>
    <w:p>
      <w:pPr>
        <w:spacing w:line="480" w:lineRule="atLeast"/>
        <w:ind w:firstLine="560"/>
        <w:textAlignment w:val="baseline"/>
        <w:rPr>
          <w:rFonts w:ascii="宋体" w:hAnsi="宋体"/>
          <w:szCs w:val="28"/>
        </w:rPr>
      </w:pPr>
      <w:r>
        <w:rPr>
          <w:rFonts w:hint="eastAsia" w:ascii="宋体" w:hAnsi="宋体" w:cs="宋体"/>
          <w:sz w:val="28"/>
          <w:szCs w:val="28"/>
        </w:rPr>
        <w:t>（七）标准项目内容涉及专利、商标等知识产权的，当报批标准名称与立项项目名称发生变化时，应重新提供知识产权的相关证明及知识产权持有人授权文件。</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审查不通过的标准，起草组根据专家审查意见对标准进行修改后重新征求意见或审查。</w:t>
      </w: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第五章  批准和发布</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报批材料通过秘书处形式审查且审查组组长确认</w:t>
      </w:r>
      <w:r>
        <w:rPr>
          <w:rFonts w:hint="eastAsia" w:ascii="Times New Roman" w:hAnsi="Times New Roman" w:cs="宋体"/>
          <w:sz w:val="28"/>
          <w:szCs w:val="20"/>
        </w:rPr>
        <w:t>已按审查意见修改到位</w:t>
      </w:r>
      <w:r>
        <w:rPr>
          <w:rFonts w:hint="eastAsia" w:ascii="宋体" w:hAnsi="宋体" w:cs="宋体"/>
          <w:sz w:val="28"/>
          <w:szCs w:val="28"/>
        </w:rPr>
        <w:t>的，秘书处提请委员投票，</w:t>
      </w:r>
      <w:r>
        <w:rPr>
          <w:rFonts w:hint="eastAsia" w:ascii="Times New Roman" w:hAnsi="Times New Roman" w:cs="宋体"/>
          <w:sz w:val="28"/>
          <w:szCs w:val="20"/>
        </w:rPr>
        <w:t>获得3/4以上委员投票通过后</w:t>
      </w:r>
      <w:r>
        <w:rPr>
          <w:rFonts w:hint="eastAsia" w:ascii="宋体" w:hAnsi="宋体" w:cs="宋体"/>
          <w:sz w:val="28"/>
          <w:szCs w:val="28"/>
        </w:rPr>
        <w:t>报学会批准发布。</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团体标准经学会批准后，由学会统一编号和发布，并在学会网站和全国团体标准信息平台发布公告。</w:t>
      </w:r>
    </w:p>
    <w:p>
      <w:pPr>
        <w:numPr>
          <w:ilvl w:val="0"/>
          <w:numId w:val="1"/>
        </w:numPr>
        <w:adjustRightInd w:val="0"/>
        <w:snapToGrid w:val="0"/>
        <w:spacing w:line="560" w:lineRule="exact"/>
        <w:rPr>
          <w:rFonts w:ascii="楷体_GB2312" w:hAnsi="Times New Roman" w:eastAsia="楷体_GB2312" w:cs="宋体"/>
          <w:sz w:val="28"/>
          <w:szCs w:val="20"/>
        </w:rPr>
      </w:pPr>
      <w:r>
        <w:rPr>
          <w:rFonts w:hint="eastAsia" w:ascii="宋体" w:hAnsi="宋体" w:cs="宋体"/>
          <w:sz w:val="28"/>
          <w:szCs w:val="28"/>
        </w:rPr>
        <w:t>团体标准编号由团体标准代号</w:t>
      </w:r>
      <w:r>
        <w:rPr>
          <w:rFonts w:hint="eastAsia" w:ascii="Times New Roman" w:hAnsi="Times New Roman" w:cs="宋体"/>
          <w:sz w:val="28"/>
          <w:szCs w:val="20"/>
        </w:rPr>
        <w:t>（T）</w:t>
      </w:r>
      <w:r>
        <w:rPr>
          <w:rFonts w:hint="eastAsia" w:ascii="宋体" w:hAnsi="宋体" w:cs="宋体"/>
          <w:sz w:val="28"/>
          <w:szCs w:val="28"/>
        </w:rPr>
        <w:t>、学会代号</w:t>
      </w:r>
      <w:r>
        <w:rPr>
          <w:rFonts w:hint="eastAsia" w:ascii="Times New Roman" w:hAnsi="Times New Roman" w:cs="宋体"/>
          <w:sz w:val="28"/>
          <w:szCs w:val="20"/>
        </w:rPr>
        <w:t>（CSSS）</w:t>
      </w:r>
      <w:r>
        <w:rPr>
          <w:rFonts w:hint="eastAsia" w:ascii="宋体" w:hAnsi="宋体" w:cs="宋体"/>
          <w:sz w:val="28"/>
          <w:szCs w:val="28"/>
        </w:rPr>
        <w:t>、团体标准顺序号和发布年号构成。</w:t>
      </w:r>
      <w:r>
        <w:rPr>
          <w:rFonts w:hint="eastAsia" w:ascii="Times New Roman" w:hAnsi="Times New Roman" w:cs="宋体"/>
          <w:sz w:val="28"/>
          <w:szCs w:val="20"/>
        </w:rPr>
        <w:t>团体标准编号方法如下：</w:t>
      </w:r>
    </w:p>
    <w:p>
      <w:pPr>
        <w:spacing w:line="288" w:lineRule="auto"/>
        <w:ind w:firstLine="560" w:firstLineChars="200"/>
        <w:rPr>
          <w:rFonts w:ascii="Times New Roman" w:hAnsi="Times New Roman"/>
          <w:sz w:val="28"/>
          <w:szCs w:val="24"/>
        </w:rPr>
      </w:pPr>
      <w:r>
        <w:rPr>
          <w:rFonts w:ascii="Times New Roman" w:hAnsi="Times New Roman"/>
          <w:sz w:val="28"/>
          <w:szCs w:val="24"/>
        </w:rPr>
        <mc:AlternateContent>
          <mc:Choice Requires="wps">
            <w:drawing>
              <wp:anchor distT="0" distB="0" distL="114300" distR="114300" simplePos="0" relativeHeight="251662336" behindDoc="0" locked="0" layoutInCell="1" allowOverlap="1">
                <wp:simplePos x="0" y="0"/>
                <wp:positionH relativeFrom="column">
                  <wp:posOffset>1233170</wp:posOffset>
                </wp:positionH>
                <wp:positionV relativeFrom="paragraph">
                  <wp:posOffset>367030</wp:posOffset>
                </wp:positionV>
                <wp:extent cx="1731010" cy="683895"/>
                <wp:effectExtent l="0" t="6350" r="6985" b="11430"/>
                <wp:wrapNone/>
                <wp:docPr id="1801908433" name="肘形连接符 5"/>
                <wp:cNvGraphicFramePr/>
                <a:graphic xmlns:a="http://schemas.openxmlformats.org/drawingml/2006/main">
                  <a:graphicData uri="http://schemas.microsoft.com/office/word/2010/wordprocessingShape">
                    <wps:wsp>
                      <wps:cNvCnPr/>
                      <wps:spPr>
                        <a:xfrm>
                          <a:off x="0" y="0"/>
                          <a:ext cx="1731010" cy="683895"/>
                        </a:xfrm>
                        <a:prstGeom prst="bentConnector3">
                          <a:avLst>
                            <a:gd name="adj1" fmla="val 440"/>
                          </a:avLst>
                        </a:prstGeom>
                        <a:noFill/>
                        <a:ln w="12700" cap="flat" cmpd="sng" algn="ctr">
                          <a:solidFill>
                            <a:srgbClr val="000000"/>
                          </a:solidFill>
                          <a:prstDash val="solid"/>
                          <a:miter lim="800000"/>
                        </a:ln>
                        <a:effectLst/>
                      </wps:spPr>
                      <wps:bodyPr/>
                    </wps:wsp>
                  </a:graphicData>
                </a:graphic>
              </wp:anchor>
            </w:drawing>
          </mc:Choice>
          <mc:Fallback>
            <w:pict>
              <v:shape id="肘形连接符 5" o:spid="_x0000_s1026" o:spt="34" type="#_x0000_t34" style="position:absolute;left:0pt;margin-left:97.1pt;margin-top:28.9pt;height:53.85pt;width:136.3pt;z-index:251662336;mso-width-relative:page;mso-height-relative:page;" filled="f" stroked="t" coordsize="21600,21600" o:gfxdata="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lgtP1wAAAAoBAAAPAAAA&#10;AAAAAAEAIAAAACIAAABkcnMvZG93bnJldi54bWxQSwECFAAUAAAACACHTuJAMH3lxRYCAAADBAAA&#10;DgAAAAAAAAABACAAAAAmAQAAZHJzL2Uyb0RvYy54bWxQSwUGAAAAAAYABgBZAQAArgUAAAAA&#10;" adj="95">
                <v:fill on="f" focussize="0,0"/>
                <v:stroke weight="1pt" color="#000000" miterlimit="8" joinstyle="miter"/>
                <v:imagedata o:title=""/>
                <o:lock v:ext="edit" aspectratio="f"/>
              </v:shape>
            </w:pict>
          </mc:Fallback>
        </mc:AlternateContent>
      </w:r>
      <w:r>
        <w:rPr>
          <w:rFonts w:ascii="Times New Roman" w:hAnsi="Times New Roman"/>
          <w:sz w:val="28"/>
          <w:szCs w:val="24"/>
        </w:rPr>
        <mc:AlternateContent>
          <mc:Choice Requires="wps">
            <w:drawing>
              <wp:anchor distT="0" distB="0" distL="114300" distR="114300" simplePos="0" relativeHeight="251661312" behindDoc="0" locked="0" layoutInCell="1" allowOverlap="1">
                <wp:simplePos x="0" y="0"/>
                <wp:positionH relativeFrom="column">
                  <wp:posOffset>1920875</wp:posOffset>
                </wp:positionH>
                <wp:positionV relativeFrom="paragraph">
                  <wp:posOffset>324485</wp:posOffset>
                </wp:positionV>
                <wp:extent cx="1002030" cy="316230"/>
                <wp:effectExtent l="0" t="6350" r="1905" b="12065"/>
                <wp:wrapNone/>
                <wp:docPr id="1192697274" name="肘形连接符 4"/>
                <wp:cNvGraphicFramePr/>
                <a:graphic xmlns:a="http://schemas.openxmlformats.org/drawingml/2006/main">
                  <a:graphicData uri="http://schemas.microsoft.com/office/word/2010/wordprocessingShape">
                    <wps:wsp>
                      <wps:cNvCnPr/>
                      <wps:spPr>
                        <a:xfrm>
                          <a:off x="0" y="0"/>
                          <a:ext cx="1002030" cy="316230"/>
                        </a:xfrm>
                        <a:prstGeom prst="bentConnector3">
                          <a:avLst>
                            <a:gd name="adj1" fmla="val 887"/>
                          </a:avLst>
                        </a:prstGeom>
                        <a:noFill/>
                        <a:ln w="12700" cap="flat" cmpd="sng" algn="ctr">
                          <a:solidFill>
                            <a:srgbClr val="000000"/>
                          </a:solidFill>
                          <a:prstDash val="solid"/>
                          <a:miter lim="800000"/>
                        </a:ln>
                        <a:effectLst/>
                      </wps:spPr>
                      <wps:bodyPr/>
                    </wps:wsp>
                  </a:graphicData>
                </a:graphic>
              </wp:anchor>
            </w:drawing>
          </mc:Choice>
          <mc:Fallback>
            <w:pict>
              <v:shape id="肘形连接符 4" o:spid="_x0000_s1026" o:spt="34" type="#_x0000_t34" style="position:absolute;left:0pt;margin-left:151.25pt;margin-top:25.55pt;height:24.9pt;width:78.9pt;z-index:251661312;mso-width-relative:page;mso-height-relative:page;" filled="f" stroked="t" coordsize="21600,21600" o:gfxdata="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Olc1wAAAAoBAAAPAAAA&#10;AAAAAAEAIAAAACIAAABkcnMvZG93bnJldi54bWxQSwECFAAUAAAACACHTuJACHruQhYCAAADBAAA&#10;DgAAAAAAAAABACAAAAAmAQAAZHJzL2Uyb0RvYy54bWxQSwUGAAAAAAYABgBZAQAArgUAAAAA&#10;" adj="192">
                <v:fill on="f" focussize="0,0"/>
                <v:stroke weight="1pt" color="#000000" miterlimit="8" joinstyle="miter"/>
                <v:imagedata o:title=""/>
                <o:lock v:ext="edit" aspectratio="f"/>
              </v:shape>
            </w:pict>
          </mc:Fallback>
        </mc:AlternateContent>
      </w:r>
      <w:r>
        <w:rPr>
          <w:rFonts w:ascii="Times New Roman" w:hAnsi="Times New Roman"/>
          <w:sz w:val="28"/>
          <w:szCs w:val="24"/>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325120</wp:posOffset>
                </wp:positionV>
                <wp:extent cx="2244090" cy="1084580"/>
                <wp:effectExtent l="0" t="6350" r="1270" b="10160"/>
                <wp:wrapNone/>
                <wp:docPr id="1185557848" name="肘形连接符 3"/>
                <wp:cNvGraphicFramePr/>
                <a:graphic xmlns:a="http://schemas.openxmlformats.org/drawingml/2006/main">
                  <a:graphicData uri="http://schemas.microsoft.com/office/word/2010/wordprocessingShape">
                    <wps:wsp>
                      <wps:cNvCnPr/>
                      <wps:spPr>
                        <a:xfrm>
                          <a:off x="0" y="0"/>
                          <a:ext cx="2244090" cy="1084580"/>
                        </a:xfrm>
                        <a:prstGeom prst="bentConnector3">
                          <a:avLst>
                            <a:gd name="adj1" fmla="val 396"/>
                          </a:avLst>
                        </a:prstGeom>
                        <a:noFill/>
                        <a:ln w="12700" cap="flat" cmpd="sng" algn="ctr">
                          <a:solidFill>
                            <a:srgbClr val="000000"/>
                          </a:solidFill>
                          <a:prstDash val="solid"/>
                          <a:miter lim="800000"/>
                        </a:ln>
                        <a:effectLst/>
                      </wps:spPr>
                      <wps:bodyPr/>
                    </wps:wsp>
                  </a:graphicData>
                </a:graphic>
              </wp:anchor>
            </w:drawing>
          </mc:Choice>
          <mc:Fallback>
            <w:pict>
              <v:shape id="肘形连接符 3" o:spid="_x0000_s1026" o:spt="34" type="#_x0000_t34" style="position:absolute;left:0pt;margin-left:57.15pt;margin-top:25.6pt;height:85.4pt;width:176.7pt;z-index:251660288;mso-width-relative:page;mso-height-relative:page;" filled="f" stroked="t" coordsize="21600,21600" o:gfxdata="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DaXw/2AAAAAoBAAAP&#10;AAAAAAAAAAEAIAAAACIAAABkcnMvZG93bnJldi54bWxQSwECFAAUAAAACACHTuJAsVg/rRgCAAAE&#10;BAAADgAAAAAAAAABACAAAAAnAQAAZHJzL2Uyb0RvYy54bWxQSwUGAAAAAAYABgBZAQAAsQUAAAAA&#10;" adj="86">
                <v:fill on="f" focussize="0,0"/>
                <v:stroke weight="1pt" color="#000000" miterlimit="8" joinstyle="miter"/>
                <v:imagedata o:title=""/>
                <o:lock v:ext="edit" aspectratio="f"/>
              </v:shape>
            </w:pict>
          </mc:Fallback>
        </mc:AlternateContent>
      </w:r>
      <w:r>
        <w:rPr>
          <w:rFonts w:ascii="Times New Roman" w:hAnsi="Times New Roman"/>
          <w:sz w:val="28"/>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325120</wp:posOffset>
                </wp:positionV>
                <wp:extent cx="2554605" cy="1517650"/>
                <wp:effectExtent l="635" t="6350" r="3175" b="8890"/>
                <wp:wrapNone/>
                <wp:docPr id="1922858268" name="肘形连接符 2"/>
                <wp:cNvGraphicFramePr/>
                <a:graphic xmlns:a="http://schemas.openxmlformats.org/drawingml/2006/main">
                  <a:graphicData uri="http://schemas.microsoft.com/office/word/2010/wordprocessingShape">
                    <wps:wsp>
                      <wps:cNvCnPr/>
                      <wps:spPr>
                        <a:xfrm>
                          <a:off x="1309370" y="2609850"/>
                          <a:ext cx="2554605" cy="1517650"/>
                        </a:xfrm>
                        <a:prstGeom prst="bentConnector3">
                          <a:avLst>
                            <a:gd name="adj1" fmla="val 223"/>
                          </a:avLst>
                        </a:prstGeom>
                        <a:noFill/>
                        <a:ln w="12700" cap="flat" cmpd="sng" algn="ctr">
                          <a:solidFill>
                            <a:srgbClr val="000000"/>
                          </a:solidFill>
                          <a:prstDash val="solid"/>
                          <a:miter lim="800000"/>
                        </a:ln>
                        <a:effectLst/>
                      </wps:spPr>
                      <wps:bodyPr/>
                    </wps:wsp>
                  </a:graphicData>
                </a:graphic>
              </wp:anchor>
            </w:drawing>
          </mc:Choice>
          <mc:Fallback>
            <w:pict>
              <v:shape id="肘形连接符 2" o:spid="_x0000_s1026" o:spt="34" type="#_x0000_t34" style="position:absolute;left:0pt;margin-left:32.25pt;margin-top:25.6pt;height:119.5pt;width:201.15pt;z-index:251659264;mso-width-relative:page;mso-height-relative:page;" filled="f" stroked="t" coordsize="21600,21600" o:gfxdata="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xXdW2AAAAAkBAAAPAAAAAAAAAAEAIAAAACIAAABkcnMvZG93bnJldi54bWxQSwECFAAUAAAACACH&#10;TuJA3PdooSQCAAAQBAAADgAAAAAAAAABACAAAAAnAQAAZHJzL2Uyb0RvYy54bWxQSwUGAAAAAAYA&#10;BgBZAQAAvQUAAAAA&#10;" adj="48">
                <v:fill on="f" focussize="0,0"/>
                <v:stroke weight="1pt" color="#000000" miterlimit="8" joinstyle="miter"/>
                <v:imagedata o:title=""/>
                <o:lock v:ext="edit" aspectratio="f"/>
              </v:shape>
            </w:pict>
          </mc:Fallback>
        </mc:AlternateContent>
      </w:r>
      <w:r>
        <w:rPr>
          <w:rFonts w:ascii="Times New Roman" w:hAnsi="Times New Roman"/>
          <w:sz w:val="28"/>
          <w:szCs w:val="24"/>
          <w:u w:val="single"/>
        </w:rPr>
        <w:t>T</w:t>
      </w:r>
      <w:r>
        <w:rPr>
          <w:rFonts w:ascii="Times New Roman" w:hAnsi="Times New Roman"/>
          <w:sz w:val="28"/>
          <w:szCs w:val="24"/>
        </w:rPr>
        <w:t>/</w:t>
      </w:r>
      <w:r>
        <w:rPr>
          <w:rFonts w:hint="eastAsia" w:ascii="Times New Roman" w:hAnsi="Times New Roman"/>
          <w:sz w:val="28"/>
          <w:szCs w:val="24"/>
          <w:u w:val="single"/>
        </w:rPr>
        <w:t>CSSS</w:t>
      </w:r>
      <w:r>
        <w:rPr>
          <w:rFonts w:hint="eastAsia" w:ascii="Times New Roman" w:hAnsi="Times New Roman"/>
          <w:sz w:val="28"/>
          <w:szCs w:val="24"/>
        </w:rPr>
        <w:t xml:space="preserve"> </w:t>
      </w:r>
      <w:r>
        <w:rPr>
          <w:rFonts w:ascii="Times New Roman" w:hAnsi="Times New Roman"/>
          <w:sz w:val="28"/>
          <w:szCs w:val="24"/>
          <w:u w:val="single"/>
        </w:rPr>
        <w:t>X</w:t>
      </w:r>
      <w:r>
        <w:rPr>
          <w:rFonts w:hint="eastAsia" w:ascii="Times New Roman" w:hAnsi="Times New Roman"/>
          <w:sz w:val="28"/>
          <w:szCs w:val="24"/>
          <w:u w:val="single"/>
        </w:rPr>
        <w:t>XXX</w:t>
      </w:r>
      <w:r>
        <w:rPr>
          <w:rFonts w:hint="eastAsia" w:ascii="Times New Roman" w:hAnsi="Times New Roman"/>
          <w:sz w:val="28"/>
          <w:szCs w:val="24"/>
        </w:rPr>
        <w:t>—</w:t>
      </w:r>
      <w:r>
        <w:rPr>
          <w:rFonts w:hint="eastAsia" w:ascii="Times New Roman" w:hAnsi="Times New Roman"/>
          <w:sz w:val="28"/>
          <w:szCs w:val="24"/>
          <w:u w:val="single"/>
        </w:rPr>
        <w:t>XXXX</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 xml:space="preserve">                              发布年号</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 xml:space="preserve">                              团体标准顺序号</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 xml:space="preserve">                              中国体育科学学会代号</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 xml:space="preserve">                              团体标准代号</w:t>
      </w:r>
    </w:p>
    <w:p>
      <w:pPr>
        <w:ind w:firstLine="560" w:firstLineChars="200"/>
        <w:rPr>
          <w:rFonts w:ascii="宋体" w:hAnsi="宋体" w:cs="宋体"/>
          <w:sz w:val="28"/>
          <w:szCs w:val="28"/>
        </w:rPr>
      </w:pPr>
      <w:r>
        <w:rPr>
          <w:rFonts w:hint="eastAsia" w:ascii="宋体" w:hAnsi="宋体" w:cs="宋体"/>
          <w:sz w:val="28"/>
          <w:szCs w:val="28"/>
        </w:rPr>
        <w:t>分部分的标准，部分编号应置于标准编号的顺序号之后，使用从1开始的阿拉伯数字，并用下脚点与顺序号相隔，如：T/CSSS XXXX.1—XXXX、T/CSSS XXXX.2—XXXX。</w:t>
      </w:r>
    </w:p>
    <w:p>
      <w:pPr>
        <w:numPr>
          <w:ilvl w:val="0"/>
          <w:numId w:val="1"/>
        </w:numPr>
        <w:adjustRightInd w:val="0"/>
        <w:snapToGrid w:val="0"/>
        <w:spacing w:line="560" w:lineRule="exact"/>
        <w:rPr>
          <w:rFonts w:ascii="宋体" w:hAnsi="宋体" w:cs="宋体"/>
          <w:sz w:val="28"/>
          <w:szCs w:val="28"/>
        </w:rPr>
      </w:pPr>
      <w:r>
        <w:rPr>
          <w:rFonts w:ascii="宋体" w:hAnsi="宋体" w:cs="宋体"/>
          <w:sz w:val="28"/>
          <w:szCs w:val="28"/>
        </w:rPr>
        <w:t>等同采用国际标准的团体标准采用双编号。</w:t>
      </w:r>
    </w:p>
    <w:p>
      <w:pPr>
        <w:spacing w:line="288" w:lineRule="auto"/>
        <w:ind w:firstLine="480" w:firstLineChars="200"/>
        <w:rPr>
          <w:rFonts w:ascii="Times New Roman" w:hAnsi="Times New Roman"/>
          <w:sz w:val="24"/>
          <w:szCs w:val="24"/>
        </w:rPr>
      </w:pPr>
      <w:r>
        <w:rPr>
          <w:rFonts w:hint="eastAsia" w:ascii="Times New Roman" w:hAnsi="Times New Roman"/>
          <w:sz w:val="24"/>
          <w:szCs w:val="24"/>
        </w:rPr>
        <w:t>示例：“</w:t>
      </w:r>
      <w:r>
        <w:rPr>
          <w:rFonts w:ascii="Times New Roman" w:hAnsi="Times New Roman"/>
          <w:sz w:val="24"/>
          <w:szCs w:val="24"/>
        </w:rPr>
        <w:t>T/CSSS XXXX</w:t>
      </w:r>
      <w:r>
        <w:rPr>
          <w:rFonts w:hint="eastAsia" w:ascii="Times New Roman" w:hAnsi="Times New Roman"/>
          <w:sz w:val="24"/>
          <w:szCs w:val="24"/>
        </w:rPr>
        <w:t>—</w:t>
      </w:r>
      <w:r>
        <w:rPr>
          <w:rFonts w:ascii="Times New Roman" w:hAnsi="Times New Roman"/>
          <w:sz w:val="24"/>
          <w:szCs w:val="24"/>
        </w:rPr>
        <w:t>XXXX</w:t>
      </w:r>
      <w:r>
        <w:rPr>
          <w:rFonts w:hint="eastAsia" w:ascii="Times New Roman" w:hAnsi="Times New Roman"/>
          <w:sz w:val="24"/>
          <w:szCs w:val="24"/>
        </w:rPr>
        <w:t xml:space="preserve"> / ISO </w:t>
      </w:r>
      <w:r>
        <w:rPr>
          <w:rFonts w:ascii="Times New Roman" w:hAnsi="Times New Roman"/>
          <w:sz w:val="24"/>
          <w:szCs w:val="24"/>
        </w:rPr>
        <w:t>XXXX</w:t>
      </w:r>
      <w:r>
        <w:rPr>
          <w:rFonts w:hint="eastAsia" w:ascii="Times New Roman" w:hAnsi="Times New Roman"/>
          <w:sz w:val="24"/>
          <w:szCs w:val="24"/>
        </w:rPr>
        <w:t>：</w:t>
      </w:r>
      <w:r>
        <w:rPr>
          <w:rFonts w:ascii="Times New Roman" w:hAnsi="Times New Roman"/>
          <w:sz w:val="24"/>
          <w:szCs w:val="24"/>
        </w:rPr>
        <w:t>XXXX</w:t>
      </w:r>
      <w:r>
        <w:rPr>
          <w:rFonts w:hint="eastAsia" w:ascii="Times New Roman" w:hAnsi="Times New Roman"/>
          <w:sz w:val="24"/>
          <w:szCs w:val="24"/>
        </w:rPr>
        <w:t>” 。</w:t>
      </w:r>
    </w:p>
    <w:p>
      <w:pPr>
        <w:numPr>
          <w:ilvl w:val="0"/>
          <w:numId w:val="1"/>
        </w:numPr>
        <w:adjustRightInd w:val="0"/>
        <w:snapToGrid w:val="0"/>
        <w:spacing w:line="560" w:lineRule="exact"/>
        <w:rPr>
          <w:rFonts w:ascii="宋体" w:hAnsi="宋体" w:cs="宋体"/>
          <w:sz w:val="28"/>
          <w:szCs w:val="28"/>
        </w:rPr>
      </w:pPr>
      <w:r>
        <w:rPr>
          <w:rFonts w:ascii="宋体" w:hAnsi="宋体" w:cs="宋体"/>
          <w:sz w:val="28"/>
          <w:szCs w:val="28"/>
        </w:rPr>
        <w:t>与其他社会团体联合发布的团体标准采用双编号。</w:t>
      </w:r>
    </w:p>
    <w:p>
      <w:pPr>
        <w:numPr>
          <w:ilvl w:val="255"/>
          <w:numId w:val="0"/>
        </w:numPr>
        <w:adjustRightInd w:val="0"/>
        <w:snapToGrid w:val="0"/>
        <w:spacing w:line="288" w:lineRule="auto"/>
        <w:ind w:firstLine="720" w:firstLineChars="300"/>
        <w:rPr>
          <w:rFonts w:ascii="宋体" w:hAnsi="宋体"/>
          <w:szCs w:val="28"/>
        </w:rPr>
      </w:pPr>
      <w:r>
        <w:rPr>
          <w:rFonts w:hint="eastAsia" w:ascii="Times New Roman" w:hAnsi="Times New Roman"/>
          <w:sz w:val="24"/>
          <w:szCs w:val="24"/>
        </w:rPr>
        <w:t>示例： “T/</w:t>
      </w:r>
      <w:r>
        <w:rPr>
          <w:rFonts w:ascii="Times New Roman" w:hAnsi="Times New Roman"/>
          <w:sz w:val="24"/>
          <w:szCs w:val="24"/>
        </w:rPr>
        <w:t>CSSS</w:t>
      </w:r>
      <w:r>
        <w:rPr>
          <w:rFonts w:hint="eastAsia" w:ascii="Times New Roman" w:hAnsi="Times New Roman"/>
          <w:sz w:val="24"/>
          <w:szCs w:val="24"/>
        </w:rPr>
        <w:t xml:space="preserve"> XXXX—XXXX/其他社会团体的团体标准编号”。</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学会发布标准后，标委会根据标准实际情况决定是否公开全文，以及是否组织有关出版单位完成出版工作。</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计划出版的团体标准，标准主要起草单位应及时完成清样校对工作。</w:t>
      </w:r>
    </w:p>
    <w:p>
      <w:pPr>
        <w:rPr>
          <w:rFonts w:ascii="Times New Roman" w:hAnsi="Times New Roman"/>
          <w:szCs w:val="24"/>
        </w:rPr>
      </w:pP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第六章  日常管理与复审</w:t>
      </w:r>
    </w:p>
    <w:p>
      <w:pPr>
        <w:numPr>
          <w:ilvl w:val="0"/>
          <w:numId w:val="1"/>
        </w:numPr>
        <w:spacing w:line="288" w:lineRule="auto"/>
        <w:rPr>
          <w:rFonts w:ascii="Times New Roman" w:hAnsi="Times New Roman"/>
          <w:sz w:val="28"/>
          <w:szCs w:val="24"/>
        </w:rPr>
      </w:pPr>
      <w:r>
        <w:rPr>
          <w:rFonts w:hint="eastAsia" w:ascii="Times New Roman" w:hAnsi="Times New Roman"/>
          <w:sz w:val="28"/>
          <w:szCs w:val="24"/>
        </w:rPr>
        <w:t>已立项的标准项目不能按期完成的，应提前3个月提交延期申请；逾期两年未进入报批阶段的，标准项目将予以撤销。</w:t>
      </w:r>
    </w:p>
    <w:p>
      <w:pPr>
        <w:numPr>
          <w:ilvl w:val="0"/>
          <w:numId w:val="1"/>
        </w:numPr>
        <w:spacing w:line="288" w:lineRule="auto"/>
        <w:rPr>
          <w:rFonts w:ascii="Times New Roman" w:hAnsi="Times New Roman"/>
          <w:sz w:val="28"/>
          <w:szCs w:val="24"/>
        </w:rPr>
      </w:pPr>
      <w:r>
        <w:rPr>
          <w:rFonts w:hint="eastAsia" w:ascii="Times New Roman" w:hAnsi="Times New Roman"/>
          <w:sz w:val="28"/>
          <w:szCs w:val="24"/>
        </w:rPr>
        <w:t>团体标准制修订过程中形成的有关资料，由秘书处按档案管理规定的要求存档，存档期限不少于5年。</w:t>
      </w:r>
    </w:p>
    <w:p>
      <w:pPr>
        <w:numPr>
          <w:ilvl w:val="0"/>
          <w:numId w:val="1"/>
        </w:numPr>
        <w:spacing w:line="288" w:lineRule="auto"/>
        <w:rPr>
          <w:rFonts w:ascii="Times New Roman" w:hAnsi="Times New Roman"/>
          <w:sz w:val="28"/>
          <w:szCs w:val="24"/>
        </w:rPr>
      </w:pPr>
      <w:r>
        <w:rPr>
          <w:rFonts w:hint="eastAsia" w:ascii="Times New Roman" w:hAnsi="Times New Roman"/>
          <w:sz w:val="28"/>
          <w:szCs w:val="24"/>
        </w:rPr>
        <w:t>团体标准复审周期一般不超过3年。有下列情形之一的，应及时组织标准复审：</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（一）相关法律、法规、规章或国家有关政策发生重大变化的；</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（二）相关国家标准、行业标准发生重大变化的；</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（三）关键技术、适用条件发生重大变化的；</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（四）引用的相关标准已经废止或修订，并对本标准的内容和要求产生影响的；</w:t>
      </w:r>
    </w:p>
    <w:p>
      <w:pPr>
        <w:spacing w:line="288" w:lineRule="auto"/>
        <w:ind w:firstLine="560" w:firstLineChars="200"/>
        <w:rPr>
          <w:rFonts w:ascii="Times New Roman" w:hAnsi="Times New Roman"/>
          <w:sz w:val="28"/>
          <w:szCs w:val="24"/>
        </w:rPr>
      </w:pPr>
      <w:r>
        <w:rPr>
          <w:rFonts w:hint="eastAsia" w:ascii="Times New Roman" w:hAnsi="Times New Roman"/>
          <w:sz w:val="28"/>
          <w:szCs w:val="24"/>
        </w:rPr>
        <w:t>（五）其他应当进行复审情形的。</w:t>
      </w:r>
    </w:p>
    <w:p>
      <w:pPr>
        <w:numPr>
          <w:ilvl w:val="0"/>
          <w:numId w:val="1"/>
        </w:numPr>
        <w:adjustRightInd w:val="0"/>
        <w:snapToGrid w:val="0"/>
        <w:spacing w:line="560" w:lineRule="exact"/>
        <w:rPr>
          <w:rFonts w:ascii="楷体_GB2312" w:hAnsi="Times New Roman" w:eastAsia="楷体_GB2312" w:cs="宋体"/>
          <w:sz w:val="28"/>
          <w:szCs w:val="20"/>
        </w:rPr>
      </w:pPr>
      <w:r>
        <w:rPr>
          <w:rFonts w:hint="eastAsia" w:ascii="宋体" w:hAnsi="宋体" w:cs="宋体"/>
          <w:sz w:val="28"/>
          <w:szCs w:val="28"/>
        </w:rPr>
        <w:t>标委会向标准主要起草单位下达复审通知，标准主要起草单位负责组织复审工作，形成标准复审工作报告。复审可采用会议审查或函审。应对标准的适用性、规范性、时效性、协调性，以及实施情况进行综合评估，评估应给出标准继续有效、修订或废止的结论。结论为修订的，应给出具体修改建议或解决方案；结论为废止的，也应给出具体的依据。</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标准主要起草单位应在规定时间内将复审工作报告提交至秘书处。标委会组织对复审结论进行审核，并按照复审结论进行分类处理、公布并归档。</w:t>
      </w:r>
    </w:p>
    <w:p>
      <w:pPr>
        <w:rPr>
          <w:rFonts w:ascii="宋体" w:hAnsi="宋体" w:cs="宋体"/>
          <w:sz w:val="28"/>
          <w:szCs w:val="28"/>
        </w:rPr>
      </w:pPr>
      <w:r>
        <w:rPr>
          <w:rFonts w:hint="eastAsia" w:ascii="宋体" w:hAnsi="宋体"/>
          <w:szCs w:val="28"/>
        </w:rPr>
        <w:t xml:space="preserve">     </w:t>
      </w:r>
      <w:r>
        <w:rPr>
          <w:rFonts w:hint="eastAsia" w:ascii="宋体" w:hAnsi="宋体" w:cs="宋体"/>
          <w:sz w:val="28"/>
          <w:szCs w:val="28"/>
        </w:rPr>
        <w:t xml:space="preserve"> 复审结论为废止的标准，标委会通过学会官网和全国团体标准信息平台向社会公开征求意见。无重大分歧意见或经协调一致的，报学会以公告形式予以废止。</w:t>
      </w:r>
    </w:p>
    <w:p>
      <w:pPr>
        <w:ind w:firstLine="560"/>
        <w:rPr>
          <w:rFonts w:ascii="宋体" w:hAnsi="宋体" w:cs="宋体"/>
          <w:sz w:val="28"/>
          <w:szCs w:val="28"/>
        </w:rPr>
      </w:pPr>
      <w:r>
        <w:rPr>
          <w:rFonts w:hint="eastAsia" w:ascii="宋体" w:hAnsi="宋体" w:cs="宋体"/>
          <w:sz w:val="28"/>
          <w:szCs w:val="28"/>
        </w:rPr>
        <w:t>复审结论为修订的标准，标准主要起草单位应及时提出标准修订项目申请。标委会按照标准立项程序进行办理。</w:t>
      </w:r>
    </w:p>
    <w:p>
      <w:pPr>
        <w:ind w:firstLine="560"/>
        <w:rPr>
          <w:rFonts w:ascii="宋体" w:hAnsi="宋体" w:cs="宋体"/>
          <w:sz w:val="28"/>
          <w:szCs w:val="28"/>
        </w:rPr>
      </w:pPr>
      <w:r>
        <w:rPr>
          <w:rFonts w:hint="eastAsia" w:ascii="宋体" w:hAnsi="宋体" w:cs="宋体"/>
          <w:sz w:val="28"/>
          <w:szCs w:val="28"/>
        </w:rPr>
        <w:t>复审结论为继续有效的标准，标委会通过学会官网和全国团体标准信息平台向社会公告标准的复审时间。</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团体标准制修订工作按照“谁需求、谁受益、谁投资”的原则采取多种渠道筹集资金，制修订经费一般由标准项目申报单位和参与单位共同承担。学会视情况对标准研究、起草给予资助。</w:t>
      </w:r>
    </w:p>
    <w:p>
      <w:pPr>
        <w:adjustRightInd w:val="0"/>
        <w:snapToGrid w:val="0"/>
        <w:spacing w:before="156" w:beforeLines="50" w:after="156" w:afterLines="50" w:line="560" w:lineRule="exact"/>
        <w:jc w:val="center"/>
        <w:rPr>
          <w:rFonts w:ascii="宋体" w:hAnsi="宋体" w:cs="宋体"/>
          <w:b/>
          <w:sz w:val="28"/>
          <w:szCs w:val="28"/>
        </w:rPr>
      </w:pPr>
      <w:r>
        <w:rPr>
          <w:rFonts w:hint="eastAsia" w:ascii="宋体" w:hAnsi="宋体" w:cs="宋体"/>
          <w:b/>
          <w:sz w:val="28"/>
          <w:szCs w:val="28"/>
        </w:rPr>
        <w:t>第七章  附则</w:t>
      </w:r>
    </w:p>
    <w:p>
      <w:pPr>
        <w:numPr>
          <w:ilvl w:val="0"/>
          <w:numId w:val="1"/>
        </w:numPr>
        <w:adjustRightInd w:val="0"/>
        <w:snapToGrid w:val="0"/>
        <w:spacing w:line="560" w:lineRule="exact"/>
        <w:rPr>
          <w:rFonts w:ascii="宋体" w:hAnsi="宋体" w:cs="宋体"/>
          <w:sz w:val="28"/>
          <w:szCs w:val="28"/>
        </w:rPr>
      </w:pPr>
      <w:r>
        <w:rPr>
          <w:rFonts w:hint="eastAsia" w:ascii="宋体" w:hAnsi="宋体" w:cs="宋体"/>
          <w:sz w:val="28"/>
          <w:szCs w:val="28"/>
        </w:rPr>
        <w:t>本工作程序由中国体育科学学会负责解释。</w:t>
      </w:r>
    </w:p>
    <w:p>
      <w:pPr>
        <w:numPr>
          <w:ilvl w:val="0"/>
          <w:numId w:val="1"/>
        </w:numPr>
        <w:adjustRightInd w:val="0"/>
        <w:snapToGrid w:val="0"/>
        <w:spacing w:line="560" w:lineRule="exact"/>
        <w:rPr>
          <w:rFonts w:ascii="宋体" w:hAnsi="宋体" w:cs="宋体"/>
          <w:sz w:val="24"/>
          <w:szCs w:val="20"/>
        </w:rPr>
      </w:pPr>
      <w:r>
        <w:rPr>
          <w:rFonts w:hint="eastAsia" w:ascii="宋体" w:hAnsi="宋体" w:cs="宋体"/>
          <w:sz w:val="28"/>
          <w:szCs w:val="28"/>
        </w:rPr>
        <w:t>本工作程序自发布之日</w:t>
      </w:r>
      <w:r>
        <w:rPr>
          <w:rFonts w:ascii="宋体" w:hAnsi="宋体" w:cs="宋体"/>
          <w:sz w:val="28"/>
          <w:szCs w:val="28"/>
        </w:rPr>
        <w:t>起执行。</w:t>
      </w:r>
    </w:p>
    <w:bookmarkEnd w:id="0"/>
    <w:p>
      <w:pPr>
        <w:widowControl/>
        <w:jc w:val="left"/>
        <w:rPr>
          <w:rFonts w:ascii="宋体" w:hAnsi="宋体"/>
          <w:sz w:val="30"/>
          <w:szCs w:val="30"/>
        </w:rPr>
      </w:pPr>
    </w:p>
    <w:sectPr>
      <w:headerReference r:id="rId3" w:type="default"/>
      <w:footerReference r:id="rId4" w:type="default"/>
      <w:pgSz w:w="11906" w:h="16838"/>
      <w:pgMar w:top="1417" w:right="1418" w:bottom="1418" w:left="1418"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14"/>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BF571C"/>
    <w:multiLevelType w:val="multilevel"/>
    <w:tmpl w:val="7DBF571C"/>
    <w:lvl w:ilvl="0" w:tentative="0">
      <w:start w:val="1"/>
      <w:numFmt w:val="chineseCountingThousand"/>
      <w:lvlText w:val="    第%1条 "/>
      <w:lvlJc w:val="left"/>
      <w:pPr>
        <w:tabs>
          <w:tab w:val="left" w:pos="1134"/>
        </w:tabs>
        <w:ind w:left="0" w:firstLine="0"/>
      </w:pPr>
      <w:rPr>
        <w:rFonts w:hint="eastAsia" w:ascii="宋体" w:hAnsi="黑体" w:eastAsia="宋体"/>
        <w:b w:val="0"/>
        <w:i w:val="0"/>
        <w:color w:val="auto"/>
        <w:sz w:val="28"/>
        <w:szCs w:val="28"/>
      </w:rPr>
    </w:lvl>
    <w:lvl w:ilvl="1" w:tentative="0">
      <w:start w:val="1"/>
      <w:numFmt w:val="decimalZero"/>
      <w:isLgl/>
      <w:lvlText w:val="节 %1.%2"/>
      <w:lvlJc w:val="left"/>
      <w:pPr>
        <w:tabs>
          <w:tab w:val="left" w:pos="108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xMDZhM2I0Y2EzOWVlNWNkMTI2OTNmZGY2ZTMxNzgifQ=="/>
  </w:docVars>
  <w:rsids>
    <w:rsidRoot w:val="00F465B0"/>
    <w:rsid w:val="0020125A"/>
    <w:rsid w:val="00354C5D"/>
    <w:rsid w:val="004E195B"/>
    <w:rsid w:val="00522559"/>
    <w:rsid w:val="005C0DD8"/>
    <w:rsid w:val="006503E7"/>
    <w:rsid w:val="006F1DCA"/>
    <w:rsid w:val="006F1E66"/>
    <w:rsid w:val="007C0981"/>
    <w:rsid w:val="007C18ED"/>
    <w:rsid w:val="007D19FE"/>
    <w:rsid w:val="009A7410"/>
    <w:rsid w:val="009B5F45"/>
    <w:rsid w:val="00A24186"/>
    <w:rsid w:val="00A479FD"/>
    <w:rsid w:val="00A51429"/>
    <w:rsid w:val="00B23A89"/>
    <w:rsid w:val="00C53676"/>
    <w:rsid w:val="00C859D1"/>
    <w:rsid w:val="00F465B0"/>
    <w:rsid w:val="00F94D36"/>
    <w:rsid w:val="3EE311E1"/>
    <w:rsid w:val="4855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sz w:val="18"/>
      <w:szCs w:val="18"/>
    </w:rPr>
  </w:style>
  <w:style w:type="character" w:customStyle="1" w:styleId="8">
    <w:name w:val="页眉 字符"/>
    <w:basedOn w:val="6"/>
    <w:link w:val="3"/>
    <w:qFormat/>
    <w:uiPriority w:val="99"/>
    <w:rPr>
      <w:sz w:val="18"/>
      <w:szCs w:val="18"/>
    </w:rPr>
  </w:style>
  <w:style w:type="paragraph" w:customStyle="1" w:styleId="9">
    <w:name w:val="正文二"/>
    <w:basedOn w:val="1"/>
    <w:next w:val="1"/>
    <w:qFormat/>
    <w:uiPriority w:val="0"/>
    <w:pPr>
      <w:ind w:firstLine="560" w:firstLineChars="200"/>
    </w:pPr>
    <w:rPr>
      <w:rFonts w:ascii="楷体_GB2312" w:eastAsia="楷体_GB2312" w:cs="宋体" w:hAnsiTheme="minorHAnsi"/>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85F2C-B7DB-4F45-93A4-869C9BE3A38D}">
  <ds:schemaRefs/>
</ds:datastoreItem>
</file>

<file path=docProps/app.xml><?xml version="1.0" encoding="utf-8"?>
<Properties xmlns="http://schemas.openxmlformats.org/officeDocument/2006/extended-properties" xmlns:vt="http://schemas.openxmlformats.org/officeDocument/2006/docPropsVTypes">
  <Template>Normal</Template>
  <Pages>17</Pages>
  <Words>1163</Words>
  <Characters>6630</Characters>
  <Lines>55</Lines>
  <Paragraphs>15</Paragraphs>
  <TotalTime>45</TotalTime>
  <ScaleCrop>false</ScaleCrop>
  <LinksUpToDate>false</LinksUpToDate>
  <CharactersWithSpaces>7778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2023-09-22T02:42:00Z</dcterms:created>
  <dc:creator>yang hong</dc:creator>
  <cp:lastModifiedBy>Administrator</cp:lastModifiedBy>
  <dcterms:modified xsi:type="dcterms:W3CDTF">2023-09-28T07:25:43Z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C075FFADF128463FB455A385D72E1FBE_12</vt:lpwstr>
  </property>
</Properties>
</file>